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B3695" w14:textId="198E3D2F" w:rsidR="001D0D53" w:rsidRDefault="001D0D53"/>
    <w:p w14:paraId="00CDE95A" w14:textId="767DDACA" w:rsidR="00B44734" w:rsidRDefault="00B44734"/>
    <w:p w14:paraId="553F60F5" w14:textId="7B7779D5" w:rsidR="00B44734" w:rsidRDefault="00B44734"/>
    <w:p w14:paraId="3189D09F" w14:textId="0F154180" w:rsidR="00B44734" w:rsidRDefault="00B44734"/>
    <w:p w14:paraId="3D7E87E5" w14:textId="3A301F1A" w:rsidR="00B44734" w:rsidRDefault="00B44734"/>
    <w:p w14:paraId="63260A26" w14:textId="45604E9D" w:rsidR="00B44734" w:rsidRDefault="00B44734"/>
    <w:p w14:paraId="1AB4ABB6" w14:textId="202C3452" w:rsidR="00B44734" w:rsidRDefault="00B44734"/>
    <w:p w14:paraId="5ADFE10A" w14:textId="59C91FC3" w:rsidR="00B44734" w:rsidRDefault="00B44734"/>
    <w:p w14:paraId="13D46198" w14:textId="55B0D152" w:rsidR="00B44734" w:rsidRDefault="00B44734"/>
    <w:p w14:paraId="7B5B0D1A" w14:textId="6F12A83C" w:rsidR="00B44734" w:rsidRDefault="00B44734"/>
    <w:p w14:paraId="39CD0780" w14:textId="09A57D2A" w:rsidR="00B44734" w:rsidRDefault="00B44734"/>
    <w:p w14:paraId="2CBF688F" w14:textId="1B4BDF04" w:rsidR="00B44734" w:rsidRPr="001D6BBF" w:rsidRDefault="00B44734" w:rsidP="00B44734">
      <w:pPr>
        <w:jc w:val="center"/>
        <w:rPr>
          <w:sz w:val="24"/>
          <w:szCs w:val="24"/>
        </w:rPr>
      </w:pPr>
      <w:r w:rsidRPr="001D6BBF">
        <w:rPr>
          <w:sz w:val="24"/>
          <w:szCs w:val="24"/>
        </w:rPr>
        <w:t>Scott Linton</w:t>
      </w:r>
    </w:p>
    <w:p w14:paraId="48B76FFF" w14:textId="601B7F76" w:rsidR="00B44734" w:rsidRPr="001D6BBF" w:rsidRDefault="00B44734" w:rsidP="00B44734">
      <w:pPr>
        <w:jc w:val="center"/>
        <w:rPr>
          <w:sz w:val="24"/>
          <w:szCs w:val="24"/>
        </w:rPr>
      </w:pPr>
      <w:r w:rsidRPr="001D6BBF">
        <w:rPr>
          <w:sz w:val="24"/>
          <w:szCs w:val="24"/>
        </w:rPr>
        <w:t>Principles of Christian Ethics</w:t>
      </w:r>
    </w:p>
    <w:p w14:paraId="19F5BCB8" w14:textId="758236E9" w:rsidR="00B44734" w:rsidRPr="001D6BBF" w:rsidRDefault="00B44734" w:rsidP="00B44734">
      <w:pPr>
        <w:jc w:val="center"/>
        <w:rPr>
          <w:sz w:val="24"/>
          <w:szCs w:val="24"/>
        </w:rPr>
      </w:pPr>
      <w:r w:rsidRPr="001D6BBF">
        <w:rPr>
          <w:sz w:val="24"/>
          <w:szCs w:val="24"/>
        </w:rPr>
        <w:t>A Relativists Perspective on Compelled Speech for Use of Gender Pronouns</w:t>
      </w:r>
    </w:p>
    <w:p w14:paraId="1F81809B" w14:textId="7358F3CC" w:rsidR="00B44734" w:rsidRPr="001D6BBF" w:rsidRDefault="00B44734" w:rsidP="00B44734">
      <w:pPr>
        <w:jc w:val="center"/>
        <w:rPr>
          <w:sz w:val="24"/>
          <w:szCs w:val="24"/>
        </w:rPr>
      </w:pPr>
      <w:r w:rsidRPr="001D6BBF">
        <w:rPr>
          <w:sz w:val="24"/>
          <w:szCs w:val="24"/>
        </w:rPr>
        <w:t>“On my honor, I promise to maintain the highest standards of honesty, integrity, and personal responsibility on this assignment.”</w:t>
      </w:r>
    </w:p>
    <w:p w14:paraId="368DDD6F" w14:textId="7B74BCC5" w:rsidR="00B44734" w:rsidRPr="001D6BBF" w:rsidRDefault="00B44734" w:rsidP="00B44734">
      <w:pPr>
        <w:jc w:val="center"/>
        <w:rPr>
          <w:sz w:val="24"/>
          <w:szCs w:val="24"/>
        </w:rPr>
      </w:pPr>
    </w:p>
    <w:p w14:paraId="487ABC6A" w14:textId="279B093F" w:rsidR="00B44734" w:rsidRPr="001D6BBF" w:rsidRDefault="00B44734" w:rsidP="00B44734">
      <w:pPr>
        <w:jc w:val="center"/>
        <w:rPr>
          <w:sz w:val="24"/>
          <w:szCs w:val="24"/>
        </w:rPr>
      </w:pPr>
    </w:p>
    <w:p w14:paraId="01BE8E75" w14:textId="066BC672" w:rsidR="00B44734" w:rsidRPr="001D6BBF" w:rsidRDefault="00B44734" w:rsidP="00B44734">
      <w:pPr>
        <w:jc w:val="center"/>
        <w:rPr>
          <w:sz w:val="24"/>
          <w:szCs w:val="24"/>
        </w:rPr>
      </w:pPr>
    </w:p>
    <w:p w14:paraId="6FA8AFC5" w14:textId="356C1DC8" w:rsidR="00B44734" w:rsidRPr="001D6BBF" w:rsidRDefault="00B44734" w:rsidP="00B44734">
      <w:pPr>
        <w:jc w:val="center"/>
        <w:rPr>
          <w:sz w:val="24"/>
          <w:szCs w:val="24"/>
        </w:rPr>
      </w:pPr>
    </w:p>
    <w:p w14:paraId="0FBF4AB7" w14:textId="38A205C7" w:rsidR="00B44734" w:rsidRPr="001D6BBF" w:rsidRDefault="00B44734" w:rsidP="00B44734">
      <w:pPr>
        <w:jc w:val="center"/>
        <w:rPr>
          <w:sz w:val="24"/>
          <w:szCs w:val="24"/>
        </w:rPr>
      </w:pPr>
    </w:p>
    <w:p w14:paraId="3AC47F15" w14:textId="1F4C0FAA" w:rsidR="00B44734" w:rsidRPr="001D6BBF" w:rsidRDefault="00B44734" w:rsidP="00B44734">
      <w:pPr>
        <w:jc w:val="center"/>
        <w:rPr>
          <w:sz w:val="24"/>
          <w:szCs w:val="24"/>
        </w:rPr>
      </w:pPr>
    </w:p>
    <w:p w14:paraId="4401A7BA" w14:textId="0E8C628A" w:rsidR="00B44734" w:rsidRPr="001D6BBF" w:rsidRDefault="00B44734" w:rsidP="00B44734">
      <w:pPr>
        <w:jc w:val="center"/>
        <w:rPr>
          <w:sz w:val="24"/>
          <w:szCs w:val="24"/>
        </w:rPr>
      </w:pPr>
    </w:p>
    <w:p w14:paraId="3AAD050D" w14:textId="1AA7910D" w:rsidR="00B44734" w:rsidRPr="001D6BBF" w:rsidRDefault="00B44734" w:rsidP="00B44734">
      <w:pPr>
        <w:jc w:val="center"/>
        <w:rPr>
          <w:sz w:val="24"/>
          <w:szCs w:val="24"/>
        </w:rPr>
      </w:pPr>
    </w:p>
    <w:p w14:paraId="29746495" w14:textId="71437F31" w:rsidR="00B44734" w:rsidRPr="001D6BBF" w:rsidRDefault="00B44734" w:rsidP="00B44734">
      <w:pPr>
        <w:jc w:val="center"/>
        <w:rPr>
          <w:sz w:val="24"/>
          <w:szCs w:val="24"/>
        </w:rPr>
      </w:pPr>
    </w:p>
    <w:p w14:paraId="45737D8D" w14:textId="7AA462B6" w:rsidR="00B44734" w:rsidRPr="001D6BBF" w:rsidRDefault="00B44734" w:rsidP="00B44734">
      <w:pPr>
        <w:jc w:val="center"/>
        <w:rPr>
          <w:sz w:val="24"/>
          <w:szCs w:val="24"/>
        </w:rPr>
      </w:pPr>
    </w:p>
    <w:p w14:paraId="0F6BCDD1" w14:textId="35C37B68" w:rsidR="00B44734" w:rsidRPr="001D6BBF" w:rsidRDefault="00B44734" w:rsidP="00B44734">
      <w:pPr>
        <w:jc w:val="center"/>
        <w:rPr>
          <w:sz w:val="24"/>
          <w:szCs w:val="24"/>
        </w:rPr>
      </w:pPr>
    </w:p>
    <w:p w14:paraId="27620C44" w14:textId="777D4B1E" w:rsidR="00B44734" w:rsidRPr="001D6BBF" w:rsidRDefault="00B44734" w:rsidP="00B44734">
      <w:pPr>
        <w:jc w:val="center"/>
        <w:rPr>
          <w:sz w:val="24"/>
          <w:szCs w:val="24"/>
        </w:rPr>
      </w:pPr>
    </w:p>
    <w:p w14:paraId="08F132BD" w14:textId="6BCAA308" w:rsidR="00D32C2B" w:rsidRPr="001D6BBF" w:rsidRDefault="00D32C2B" w:rsidP="001D6BBF">
      <w:pPr>
        <w:spacing w:line="480" w:lineRule="auto"/>
        <w:ind w:firstLine="720"/>
        <w:rPr>
          <w:sz w:val="24"/>
          <w:szCs w:val="24"/>
        </w:rPr>
      </w:pPr>
      <w:r w:rsidRPr="001D6BBF">
        <w:rPr>
          <w:sz w:val="24"/>
          <w:szCs w:val="24"/>
        </w:rPr>
        <w:lastRenderedPageBreak/>
        <w:t>As society continues to move forward, many have become concerned with the use of gender pronouns, specifically, compelling people to use them. Many have viewed this as an intrusion on various rights as given under the constitution, like freedom of speech. Also, from a conservative Christian perspective, many have seen the use of gender pronouns as a disagreement with their belief. The purpose of this paper is to explain the ethical consideration of this topic from a moral relativist’s perspective. That being said, I will begin by explaining what compelled speech is and the examples that we have for it in the legal code. Afterwards, I will discuss the concept of gender pronouns and why they are being used more frequently. In addition, I will present why gender identity and gender pronoun use is being passed in our legal code and present some of the concerns for that. This is where I will transition to addressing this from a moral relativist perspective. I will argue for and against compelling individuals to use gender pronouns from this perspective with the hopes of highlighting that the relativist model can never truly identify whether it is ethical or not. That being said, what is compelled speech?</w:t>
      </w:r>
    </w:p>
    <w:p w14:paraId="06A50C64" w14:textId="58458BDD" w:rsidR="005252FC" w:rsidRPr="001D6BBF" w:rsidRDefault="005252FC" w:rsidP="001D6BBF">
      <w:pPr>
        <w:spacing w:line="480" w:lineRule="auto"/>
        <w:ind w:firstLine="720"/>
        <w:rPr>
          <w:sz w:val="24"/>
          <w:szCs w:val="24"/>
        </w:rPr>
      </w:pPr>
      <w:r w:rsidRPr="001D6BBF">
        <w:rPr>
          <w:sz w:val="24"/>
          <w:szCs w:val="24"/>
        </w:rPr>
        <w:t>Compelled speech doctrine, according to David L. Hudson Jr, a law professor at Belmont who publishes extensively on this topic, “sets out the principle that the government cannot force an individual or group to support certain expression.”</w:t>
      </w:r>
      <w:r w:rsidRPr="001D6BBF">
        <w:rPr>
          <w:rStyle w:val="FootnoteReference"/>
          <w:sz w:val="24"/>
          <w:szCs w:val="24"/>
        </w:rPr>
        <w:footnoteReference w:id="1"/>
      </w:r>
      <w:r w:rsidRPr="001D6BBF">
        <w:rPr>
          <w:sz w:val="24"/>
          <w:szCs w:val="24"/>
        </w:rPr>
        <w:t xml:space="preserve"> </w:t>
      </w:r>
      <w:r w:rsidR="00B43294" w:rsidRPr="001D6BBF">
        <w:rPr>
          <w:sz w:val="24"/>
          <w:szCs w:val="24"/>
        </w:rPr>
        <w:t>Another way of understanding compelled speech is as follows, “compelled speech always involves ‘content-based’ regulation because the government, when it compels speech, compels a specific message, not just an obligation to say whatever the speaker wants.”</w:t>
      </w:r>
      <w:r w:rsidR="00B43294" w:rsidRPr="001D6BBF">
        <w:rPr>
          <w:rStyle w:val="FootnoteReference"/>
          <w:sz w:val="24"/>
          <w:szCs w:val="24"/>
        </w:rPr>
        <w:footnoteReference w:id="2"/>
      </w:r>
      <w:r w:rsidR="00B43294" w:rsidRPr="001D6BBF">
        <w:rPr>
          <w:sz w:val="24"/>
          <w:szCs w:val="24"/>
        </w:rPr>
        <w:t xml:space="preserve"> </w:t>
      </w:r>
      <w:r w:rsidRPr="001D6BBF">
        <w:rPr>
          <w:sz w:val="24"/>
          <w:szCs w:val="24"/>
        </w:rPr>
        <w:t xml:space="preserve">What this means is that the First Amendment of </w:t>
      </w:r>
      <w:r w:rsidRPr="001D6BBF">
        <w:rPr>
          <w:sz w:val="24"/>
          <w:szCs w:val="24"/>
        </w:rPr>
        <w:lastRenderedPageBreak/>
        <w:t xml:space="preserve">the American Constitution limits the government punishing a person for his speech and prevents them from punishing those who refuse to adhere to the government’s approved messages. </w:t>
      </w:r>
      <w:r w:rsidR="002C42C5" w:rsidRPr="001D6BBF">
        <w:rPr>
          <w:sz w:val="24"/>
          <w:szCs w:val="24"/>
        </w:rPr>
        <w:t xml:space="preserve">This is further explained in the legal code put up by congress on their website. They state that, </w:t>
      </w:r>
      <w:r w:rsidR="00B43294" w:rsidRPr="001D6BBF">
        <w:rPr>
          <w:sz w:val="24"/>
          <w:szCs w:val="24"/>
        </w:rPr>
        <w:t>“Speaking in the context of religious freedom, the Court said that, although the freedom to act on one’s beliefs could be limited, the freedom to believe what on will is absolute.”</w:t>
      </w:r>
      <w:r w:rsidR="00B43294" w:rsidRPr="001D6BBF">
        <w:rPr>
          <w:rStyle w:val="FootnoteReference"/>
          <w:sz w:val="24"/>
          <w:szCs w:val="24"/>
        </w:rPr>
        <w:footnoteReference w:id="3"/>
      </w:r>
      <w:r w:rsidR="00B43294" w:rsidRPr="001D6BBF">
        <w:rPr>
          <w:sz w:val="24"/>
          <w:szCs w:val="24"/>
        </w:rPr>
        <w:t xml:space="preserve"> This is an important qualifier. This means that although the government cannot force persons to express or speak in such a way, they can limit the actions of one’s beliefs. This allows then that actions can be limited by governmental law. As we shall see, there are benefits to this but maybe some potential problems. </w:t>
      </w:r>
    </w:p>
    <w:p w14:paraId="4A4E1ABD" w14:textId="32C21098" w:rsidR="00B43294" w:rsidRPr="001D6BBF" w:rsidRDefault="00B6797E" w:rsidP="001D6BBF">
      <w:pPr>
        <w:spacing w:line="480" w:lineRule="auto"/>
        <w:ind w:firstLine="720"/>
        <w:rPr>
          <w:sz w:val="24"/>
          <w:szCs w:val="24"/>
        </w:rPr>
      </w:pPr>
      <w:r w:rsidRPr="001D6BBF">
        <w:rPr>
          <w:sz w:val="24"/>
          <w:szCs w:val="24"/>
        </w:rPr>
        <w:t xml:space="preserve">There have been cases that have addressed the issue of compelled speech. One example was the </w:t>
      </w:r>
      <w:r w:rsidRPr="001D6BBF">
        <w:rPr>
          <w:i/>
          <w:iCs/>
          <w:sz w:val="24"/>
          <w:szCs w:val="24"/>
        </w:rPr>
        <w:t>National Institute of Family and Life Advocates v. Becerra (NIFLA)</w:t>
      </w:r>
      <w:r w:rsidRPr="001D6BBF">
        <w:rPr>
          <w:sz w:val="24"/>
          <w:szCs w:val="24"/>
        </w:rPr>
        <w:t>. The issue presented in this case was that there was a law that imposed “disclosure requirements on so-called Crisis Pregnancy Centers,” which were typically Christian pro-life groups that provided services for pregnant women while at the same time “discouraging them from obtaining abortion.”</w:t>
      </w:r>
      <w:r w:rsidRPr="001D6BBF">
        <w:rPr>
          <w:rStyle w:val="FootnoteReference"/>
          <w:sz w:val="24"/>
          <w:szCs w:val="24"/>
        </w:rPr>
        <w:footnoteReference w:id="4"/>
      </w:r>
      <w:r w:rsidR="00B43294" w:rsidRPr="001D6BBF">
        <w:rPr>
          <w:sz w:val="24"/>
          <w:szCs w:val="24"/>
        </w:rPr>
        <w:t xml:space="preserve"> </w:t>
      </w:r>
      <w:r w:rsidRPr="001D6BBF">
        <w:rPr>
          <w:sz w:val="24"/>
          <w:szCs w:val="24"/>
        </w:rPr>
        <w:t>The disclosure that the government required these facilities to display in prominent locations was “a notice stating that the State of California ran programs providing free or low-cost access to family planning, prenatal care, and abortion services.”</w:t>
      </w:r>
      <w:r w:rsidRPr="001D6BBF">
        <w:rPr>
          <w:rStyle w:val="FootnoteReference"/>
          <w:sz w:val="24"/>
          <w:szCs w:val="24"/>
        </w:rPr>
        <w:footnoteReference w:id="5"/>
      </w:r>
      <w:r w:rsidRPr="001D6BBF">
        <w:rPr>
          <w:sz w:val="24"/>
          <w:szCs w:val="24"/>
        </w:rPr>
        <w:t xml:space="preserve"> It was ruled</w:t>
      </w:r>
      <w:r w:rsidR="004C3F42" w:rsidRPr="001D6BBF">
        <w:rPr>
          <w:sz w:val="24"/>
          <w:szCs w:val="24"/>
        </w:rPr>
        <w:t xml:space="preserve"> by the Supreme Court against the required disclosure and the reason for it is expressed by Justice Thomas. He shared the majority opinion by “describing the notice requirement as a ‘content-based regulation of </w:t>
      </w:r>
      <w:r w:rsidR="004C3F42" w:rsidRPr="001D6BBF">
        <w:rPr>
          <w:sz w:val="24"/>
          <w:szCs w:val="24"/>
        </w:rPr>
        <w:lastRenderedPageBreak/>
        <w:t>[the clinics’] speech,’ because “such notices ‘alte[r] the content of [the clinics’] speech.’”</w:t>
      </w:r>
      <w:r w:rsidR="004C3F42" w:rsidRPr="001D6BBF">
        <w:rPr>
          <w:rStyle w:val="FootnoteReference"/>
          <w:sz w:val="24"/>
          <w:szCs w:val="24"/>
        </w:rPr>
        <w:footnoteReference w:id="6"/>
      </w:r>
      <w:r w:rsidR="004C3F42" w:rsidRPr="001D6BBF">
        <w:rPr>
          <w:sz w:val="24"/>
          <w:szCs w:val="24"/>
        </w:rPr>
        <w:t xml:space="preserve"> Another way of putting it is that the government’s required disclosure speech was drowning out the facilities speech. </w:t>
      </w:r>
    </w:p>
    <w:p w14:paraId="5A036AC3" w14:textId="04406480" w:rsidR="004C3F42" w:rsidRPr="001D6BBF" w:rsidRDefault="00D12391" w:rsidP="001D6BBF">
      <w:pPr>
        <w:spacing w:line="480" w:lineRule="auto"/>
        <w:ind w:firstLine="720"/>
        <w:rPr>
          <w:sz w:val="24"/>
          <w:szCs w:val="24"/>
        </w:rPr>
      </w:pPr>
      <w:r w:rsidRPr="001D6BBF">
        <w:rPr>
          <w:sz w:val="24"/>
          <w:szCs w:val="24"/>
        </w:rPr>
        <w:t>Another</w:t>
      </w:r>
      <w:r w:rsidR="004C3F42" w:rsidRPr="001D6BBF">
        <w:rPr>
          <w:sz w:val="24"/>
          <w:szCs w:val="24"/>
        </w:rPr>
        <w:t xml:space="preserve"> example and probably the prime example of compelled speech in the case </w:t>
      </w:r>
      <w:r w:rsidRPr="001D6BBF">
        <w:rPr>
          <w:i/>
          <w:iCs/>
          <w:sz w:val="24"/>
          <w:szCs w:val="24"/>
        </w:rPr>
        <w:t>Barnette</w:t>
      </w:r>
      <w:r w:rsidR="004C3F42" w:rsidRPr="001D6BBF">
        <w:rPr>
          <w:sz w:val="24"/>
          <w:szCs w:val="24"/>
        </w:rPr>
        <w:t>.</w:t>
      </w:r>
      <w:r w:rsidRPr="001D6BBF">
        <w:rPr>
          <w:sz w:val="24"/>
          <w:szCs w:val="24"/>
        </w:rPr>
        <w:t xml:space="preserve"> The issue at hand was that previous legislation had ruled that “it did not violate the religious rights of two schoolchildren for a Pennsylvania school district to expel them for failing to participate in a flag salute.” </w:t>
      </w:r>
      <w:r w:rsidRPr="001D6BBF">
        <w:rPr>
          <w:rStyle w:val="FootnoteReference"/>
          <w:sz w:val="24"/>
          <w:szCs w:val="24"/>
        </w:rPr>
        <w:footnoteReference w:id="7"/>
      </w:r>
      <w:r w:rsidRPr="001D6BBF">
        <w:rPr>
          <w:sz w:val="24"/>
          <w:szCs w:val="24"/>
        </w:rPr>
        <w:t xml:space="preserve"> Children who were members of Jehovah’s Witness believed that it was forbidden by the Bible that they should participate in such ceremony. A suit was brought to a federal court seeking “an injunction against enforcement of this requirement.”</w:t>
      </w:r>
      <w:r w:rsidRPr="001D6BBF">
        <w:rPr>
          <w:rStyle w:val="FootnoteReference"/>
          <w:sz w:val="24"/>
          <w:szCs w:val="24"/>
        </w:rPr>
        <w:footnoteReference w:id="8"/>
      </w:r>
      <w:r w:rsidRPr="001D6BBF">
        <w:rPr>
          <w:sz w:val="24"/>
          <w:szCs w:val="24"/>
        </w:rPr>
        <w:t xml:space="preserve"> The injunction was granted and Justice Jackson’s majority opinion in </w:t>
      </w:r>
      <w:r w:rsidRPr="001D6BBF">
        <w:rPr>
          <w:i/>
          <w:iCs/>
          <w:sz w:val="24"/>
          <w:szCs w:val="24"/>
        </w:rPr>
        <w:t>Barnette</w:t>
      </w:r>
      <w:r w:rsidRPr="001D6BBF">
        <w:rPr>
          <w:sz w:val="24"/>
          <w:szCs w:val="24"/>
        </w:rPr>
        <w:t xml:space="preserve"> became widely cited for First Amendment issues relating to compelled speech. His statement is as follows:</w:t>
      </w:r>
    </w:p>
    <w:p w14:paraId="355C3A19" w14:textId="2C188394" w:rsidR="00D12391" w:rsidRPr="001D6BBF" w:rsidRDefault="00D12391" w:rsidP="001D6BBF">
      <w:pPr>
        <w:spacing w:line="480" w:lineRule="auto"/>
        <w:ind w:firstLine="720"/>
        <w:rPr>
          <w:sz w:val="24"/>
          <w:szCs w:val="24"/>
        </w:rPr>
      </w:pPr>
      <w:r w:rsidRPr="001D6BBF">
        <w:rPr>
          <w:sz w:val="24"/>
          <w:szCs w:val="24"/>
        </w:rPr>
        <w:t>“If there is any fixed star in our constitutional constellation, it is that no official, high or petty, can prescribe what shall be orthodox in politics, nationalism, religion, or other matters of opinion or force citizens to confess by word or act their faith therein. If there are any circumstances which permit an exception, they do not now occur to us.”</w:t>
      </w:r>
      <w:r w:rsidR="00C45091" w:rsidRPr="001D6BBF">
        <w:rPr>
          <w:rStyle w:val="FootnoteReference"/>
          <w:sz w:val="24"/>
          <w:szCs w:val="24"/>
        </w:rPr>
        <w:footnoteReference w:id="9"/>
      </w:r>
    </w:p>
    <w:p w14:paraId="437CA0B4" w14:textId="10F2AB23" w:rsidR="00C45091" w:rsidRPr="001D6BBF" w:rsidRDefault="00C45091" w:rsidP="001D6BBF">
      <w:pPr>
        <w:spacing w:line="480" w:lineRule="auto"/>
        <w:ind w:firstLine="720"/>
        <w:rPr>
          <w:sz w:val="24"/>
          <w:szCs w:val="24"/>
        </w:rPr>
      </w:pPr>
      <w:r w:rsidRPr="001D6BBF">
        <w:rPr>
          <w:sz w:val="24"/>
          <w:szCs w:val="24"/>
        </w:rPr>
        <w:t>Justice Jackson also mentioned that, “To sustain the compulsory flag salute we are required to say that a Bill of Rights which guards the individual’s right to speak his own mind, left it open to public authorities to compel him to utter what is not in his mind.”</w:t>
      </w:r>
      <w:r w:rsidRPr="001D6BBF">
        <w:rPr>
          <w:rStyle w:val="FootnoteReference"/>
          <w:sz w:val="24"/>
          <w:szCs w:val="24"/>
        </w:rPr>
        <w:footnoteReference w:id="10"/>
      </w:r>
      <w:r w:rsidRPr="001D6BBF">
        <w:rPr>
          <w:sz w:val="24"/>
          <w:szCs w:val="24"/>
        </w:rPr>
        <w:t xml:space="preserve"> The </w:t>
      </w:r>
      <w:r w:rsidRPr="001D6BBF">
        <w:rPr>
          <w:sz w:val="24"/>
          <w:szCs w:val="24"/>
        </w:rPr>
        <w:lastRenderedPageBreak/>
        <w:t>precedence for this decision was not based on the freedom of religious expression but on the premise of compelled speech in conflict with freedom of speech. Again, the consistent pattern has been that compulsion of speech from the government which compels someone to utter or express something they don’t believe in is a form of suppression of speech. The government seems to be in error when “we are faced with a state measure which forces an individual, as part of his daily life. . . to be an instrument for fostering public adherence to an ideological point of view he finds unacceptable.”</w:t>
      </w:r>
      <w:r w:rsidRPr="001D6BBF">
        <w:rPr>
          <w:rStyle w:val="FootnoteReference"/>
          <w:sz w:val="24"/>
          <w:szCs w:val="24"/>
        </w:rPr>
        <w:footnoteReference w:id="11"/>
      </w:r>
    </w:p>
    <w:p w14:paraId="489C26C5" w14:textId="4357429E" w:rsidR="00C45091" w:rsidRPr="001D6BBF" w:rsidRDefault="00C45091" w:rsidP="001D6BBF">
      <w:pPr>
        <w:spacing w:line="480" w:lineRule="auto"/>
        <w:ind w:firstLine="720"/>
        <w:rPr>
          <w:sz w:val="24"/>
          <w:szCs w:val="24"/>
        </w:rPr>
      </w:pPr>
      <w:r w:rsidRPr="001D6BBF">
        <w:rPr>
          <w:sz w:val="24"/>
          <w:szCs w:val="24"/>
        </w:rPr>
        <w:t>A more recent example can be found in California where Governor Jerry Brown signed into law</w:t>
      </w:r>
      <w:r w:rsidR="00800E60" w:rsidRPr="001D6BBF">
        <w:rPr>
          <w:sz w:val="24"/>
          <w:szCs w:val="24"/>
        </w:rPr>
        <w:t>, which would make the ‘willfully and repeatedly’ decline “to use a senior transgender patient’s preferred name or pronouns.”</w:t>
      </w:r>
      <w:r w:rsidR="00800E60" w:rsidRPr="001D6BBF">
        <w:rPr>
          <w:rStyle w:val="FootnoteReference"/>
          <w:sz w:val="24"/>
          <w:szCs w:val="24"/>
        </w:rPr>
        <w:footnoteReference w:id="12"/>
      </w:r>
      <w:r w:rsidR="00800E60" w:rsidRPr="001D6BBF">
        <w:rPr>
          <w:sz w:val="24"/>
          <w:szCs w:val="24"/>
        </w:rPr>
        <w:t xml:space="preserve"> This was passed around 2018. An article in the “San Diego Criminal Lawyers Blog” gives the overall picture of what this law says and intends to do. They say that the law states,</w:t>
      </w:r>
    </w:p>
    <w:p w14:paraId="49BE848E" w14:textId="5AE0D1BB" w:rsidR="00800E60" w:rsidRPr="001D6BBF" w:rsidRDefault="00800E60" w:rsidP="001D6BBF">
      <w:pPr>
        <w:spacing w:line="480" w:lineRule="auto"/>
        <w:ind w:left="720"/>
        <w:rPr>
          <w:rFonts w:cstheme="minorHAnsi"/>
          <w:color w:val="333333"/>
          <w:sz w:val="24"/>
          <w:szCs w:val="24"/>
          <w:shd w:val="clear" w:color="auto" w:fill="FFFFFF"/>
        </w:rPr>
      </w:pPr>
      <w:r w:rsidRPr="001D6BBF">
        <w:rPr>
          <w:rFonts w:cstheme="minorHAnsi"/>
          <w:color w:val="333333"/>
          <w:sz w:val="24"/>
          <w:szCs w:val="24"/>
          <w:shd w:val="clear" w:color="auto" w:fill="FFFFFF"/>
        </w:rPr>
        <w:t>“It shall be unlawful for a long-term care facility or facility staff to take any of the following actions wholly or partially on the basis of a person’s actual or perceived sexual orientation, gender identity, gender expression, or human immunodeficiency virus (HIV) status.” Among the unlawful actions are “willfully and repeatedly” failing to use a transgender person’s “preferred name or pronouns” after he or she is “clearly informed of the preferred name or pronouns.”</w:t>
      </w:r>
      <w:r w:rsidRPr="001D6BBF">
        <w:rPr>
          <w:rStyle w:val="FootnoteReference"/>
          <w:rFonts w:cstheme="minorHAnsi"/>
          <w:color w:val="333333"/>
          <w:sz w:val="24"/>
          <w:szCs w:val="24"/>
          <w:shd w:val="clear" w:color="auto" w:fill="FFFFFF"/>
        </w:rPr>
        <w:footnoteReference w:id="13"/>
      </w:r>
    </w:p>
    <w:p w14:paraId="6F3A002B" w14:textId="2E05DA38" w:rsidR="00800E60" w:rsidRPr="001D6BBF" w:rsidRDefault="00800E60" w:rsidP="001D6BBF">
      <w:pPr>
        <w:spacing w:line="480" w:lineRule="auto"/>
        <w:rPr>
          <w:rFonts w:cstheme="minorHAnsi"/>
          <w:color w:val="333333"/>
          <w:sz w:val="24"/>
          <w:szCs w:val="24"/>
          <w:shd w:val="clear" w:color="auto" w:fill="FFFFFF"/>
        </w:rPr>
      </w:pPr>
      <w:r w:rsidRPr="001D6BBF">
        <w:rPr>
          <w:rFonts w:cstheme="minorHAnsi"/>
          <w:color w:val="333333"/>
          <w:sz w:val="24"/>
          <w:szCs w:val="24"/>
          <w:shd w:val="clear" w:color="auto" w:fill="FFFFFF"/>
        </w:rPr>
        <w:lastRenderedPageBreak/>
        <w:t xml:space="preserve">The intention behind this law is to protect the needs and care for the LBGT community in long-term care facilities. It is to ensure that these facilities are catering to the patients needs and providing the best care for them. </w:t>
      </w:r>
      <w:r w:rsidR="000C1740" w:rsidRPr="001D6BBF">
        <w:rPr>
          <w:rFonts w:cstheme="minorHAnsi"/>
          <w:color w:val="333333"/>
          <w:sz w:val="24"/>
          <w:szCs w:val="24"/>
          <w:shd w:val="clear" w:color="auto" w:fill="FFFFFF"/>
        </w:rPr>
        <w:t>There has been some confusion surrounding this new law and some concern along the lines of compelled speech. Some are concerned that if they happen to address someone by the wrong gender pronouns, they will be fined and potentially serve one year of jail time. “The sponsor, Democratic state Sen. Scott Wiener, has claimed that nobody is going to be criminally prosecuted for using the wrong pronoun.”</w:t>
      </w:r>
      <w:r w:rsidR="000C1740" w:rsidRPr="001D6BBF">
        <w:rPr>
          <w:rStyle w:val="FootnoteReference"/>
          <w:rFonts w:cstheme="minorHAnsi"/>
          <w:color w:val="333333"/>
          <w:sz w:val="24"/>
          <w:szCs w:val="24"/>
          <w:shd w:val="clear" w:color="auto" w:fill="FFFFFF"/>
        </w:rPr>
        <w:footnoteReference w:id="14"/>
      </w:r>
      <w:r w:rsidR="000C1740" w:rsidRPr="001D6BBF">
        <w:rPr>
          <w:rFonts w:cstheme="minorHAnsi"/>
          <w:color w:val="333333"/>
          <w:sz w:val="24"/>
          <w:szCs w:val="24"/>
          <w:shd w:val="clear" w:color="auto" w:fill="FFFFFF"/>
        </w:rPr>
        <w:t xml:space="preserve"> This recent development though does beg the question, what about care facilities that predominantly are conservative Christian or what about the individuals who have concerns about using gender pronouns. Before, we saw that the regulation of speech that forces an individual to adhere to an ideology he does not believe in is precedence against the compulsion of this law. Without going into that too much here, suffice it to say that there are laws that are being discussed concerning the compulsion of speech and the point of argument is whose rights are we protecting? Do we protect the right of the LGBT individual or the person against the use of gender pronouns? What are gender pronouns and why is there so much discussion around this topic?</w:t>
      </w:r>
    </w:p>
    <w:p w14:paraId="3191562F" w14:textId="05E015DC" w:rsidR="000C1740" w:rsidRPr="001D6BBF" w:rsidRDefault="000C1740" w:rsidP="001D6BBF">
      <w:pPr>
        <w:spacing w:line="480" w:lineRule="auto"/>
        <w:rPr>
          <w:rFonts w:cstheme="minorHAnsi"/>
          <w:color w:val="333333"/>
          <w:sz w:val="24"/>
          <w:szCs w:val="24"/>
          <w:shd w:val="clear" w:color="auto" w:fill="FFFFFF"/>
        </w:rPr>
      </w:pPr>
      <w:r w:rsidRPr="001D6BBF">
        <w:rPr>
          <w:rFonts w:cstheme="minorHAnsi"/>
          <w:color w:val="333333"/>
          <w:sz w:val="24"/>
          <w:szCs w:val="24"/>
          <w:shd w:val="clear" w:color="auto" w:fill="FFFFFF"/>
        </w:rPr>
        <w:tab/>
      </w:r>
      <w:r w:rsidR="00F06C43" w:rsidRPr="001D6BBF">
        <w:rPr>
          <w:rFonts w:cstheme="minorHAnsi"/>
          <w:color w:val="333333"/>
          <w:sz w:val="24"/>
          <w:szCs w:val="24"/>
          <w:shd w:val="clear" w:color="auto" w:fill="FFFFFF"/>
        </w:rPr>
        <w:t>Before addressing the above question, we must discuss what gender identity is. In the book, “Gender Identity,” the definition for gender identity is “a person’s perception of their own gender, or the gender a person feels that they are.”</w:t>
      </w:r>
      <w:r w:rsidR="00F06C43" w:rsidRPr="001D6BBF">
        <w:rPr>
          <w:rStyle w:val="FootnoteReference"/>
          <w:rFonts w:cstheme="minorHAnsi"/>
          <w:color w:val="333333"/>
          <w:sz w:val="24"/>
          <w:szCs w:val="24"/>
          <w:shd w:val="clear" w:color="auto" w:fill="FFFFFF"/>
        </w:rPr>
        <w:footnoteReference w:id="15"/>
      </w:r>
      <w:r w:rsidR="00F06C43" w:rsidRPr="001D6BBF">
        <w:rPr>
          <w:rFonts w:cstheme="minorHAnsi"/>
          <w:color w:val="333333"/>
          <w:sz w:val="24"/>
          <w:szCs w:val="24"/>
          <w:shd w:val="clear" w:color="auto" w:fill="FFFFFF"/>
        </w:rPr>
        <w:t xml:space="preserve"> The purpose of defining it in this way is to separate gender and sex. The argument is that for the most part, gender, sex, and sexual orientation have all been tied together. Today, we have an unravelling of this and a separation of </w:t>
      </w:r>
      <w:r w:rsidR="00F06C43" w:rsidRPr="001D6BBF">
        <w:rPr>
          <w:rFonts w:cstheme="minorHAnsi"/>
          <w:color w:val="333333"/>
          <w:sz w:val="24"/>
          <w:szCs w:val="24"/>
          <w:shd w:val="clear" w:color="auto" w:fill="FFFFFF"/>
        </w:rPr>
        <w:lastRenderedPageBreak/>
        <w:t>these concepts. The distinctions are not so clear. “As cultures around the world become more accepting of the spectrum of different genders, people are freer to identify as they feel instead as they are assigned.”</w:t>
      </w:r>
      <w:r w:rsidR="00F06C43" w:rsidRPr="001D6BBF">
        <w:rPr>
          <w:rStyle w:val="FootnoteReference"/>
          <w:rFonts w:cstheme="minorHAnsi"/>
          <w:color w:val="333333"/>
          <w:sz w:val="24"/>
          <w:szCs w:val="24"/>
          <w:shd w:val="clear" w:color="auto" w:fill="FFFFFF"/>
        </w:rPr>
        <w:footnoteReference w:id="16"/>
      </w:r>
      <w:r w:rsidR="00F06C43" w:rsidRPr="001D6BBF">
        <w:rPr>
          <w:rFonts w:cstheme="minorHAnsi"/>
          <w:color w:val="333333"/>
          <w:sz w:val="24"/>
          <w:szCs w:val="24"/>
          <w:shd w:val="clear" w:color="auto" w:fill="FFFFFF"/>
        </w:rPr>
        <w:t xml:space="preserve"> Gender is often assigned at birth and is associated with the genitalia of the baby born. </w:t>
      </w:r>
      <w:r w:rsidR="00466E07" w:rsidRPr="001D6BBF">
        <w:rPr>
          <w:rFonts w:cstheme="minorHAnsi"/>
          <w:color w:val="333333"/>
          <w:sz w:val="24"/>
          <w:szCs w:val="24"/>
          <w:shd w:val="clear" w:color="auto" w:fill="FFFFFF"/>
        </w:rPr>
        <w:t>Assignment though does not always express what the individual feels though. They may have been assigned a gender that one does not identify with. This is where we get the terms transgender and cisgender. Cisgender refers to those individuals who identify with their physical sex while transgender does not. For example, you could have been born and assigned as male. Later on, you may feel that you are a woman and thus you identify as transgender. This changes then the dynamics of sexual orientation. Heterosexuals can be transwoman who are attracted to men and homosexuals can be transwoman who are attracted to women. Gender Identity allows for fluidity so that a person is not bound by the heteronormative society.</w:t>
      </w:r>
    </w:p>
    <w:p w14:paraId="56382091" w14:textId="77777777" w:rsidR="00233E25" w:rsidRPr="001D6BBF" w:rsidRDefault="00466E07" w:rsidP="001D6BBF">
      <w:pPr>
        <w:spacing w:line="480" w:lineRule="auto"/>
        <w:rPr>
          <w:rFonts w:cstheme="minorHAnsi"/>
          <w:color w:val="333333"/>
          <w:sz w:val="24"/>
          <w:szCs w:val="24"/>
          <w:shd w:val="clear" w:color="auto" w:fill="FFFFFF"/>
        </w:rPr>
      </w:pPr>
      <w:r w:rsidRPr="001D6BBF">
        <w:rPr>
          <w:rFonts w:cstheme="minorHAnsi"/>
          <w:color w:val="333333"/>
          <w:sz w:val="24"/>
          <w:szCs w:val="24"/>
          <w:shd w:val="clear" w:color="auto" w:fill="FFFFFF"/>
        </w:rPr>
        <w:tab/>
        <w:t>Gender has become a fluid term and thus influences the discussion around pronouns. “The naming of gender pronouns is a practice used to expose taken-for-granted gender binaries and the unconscious, heteronormative articulation of sex-gender-sexuality.”</w:t>
      </w:r>
      <w:r w:rsidRPr="001D6BBF">
        <w:rPr>
          <w:rStyle w:val="FootnoteReference"/>
          <w:rFonts w:cstheme="minorHAnsi"/>
          <w:color w:val="333333"/>
          <w:sz w:val="24"/>
          <w:szCs w:val="24"/>
          <w:shd w:val="clear" w:color="auto" w:fill="FFFFFF"/>
        </w:rPr>
        <w:footnoteReference w:id="17"/>
      </w:r>
      <w:r w:rsidRPr="001D6BBF">
        <w:rPr>
          <w:rFonts w:cstheme="minorHAnsi"/>
          <w:color w:val="333333"/>
          <w:sz w:val="24"/>
          <w:szCs w:val="24"/>
          <w:shd w:val="clear" w:color="auto" w:fill="FFFFFF"/>
        </w:rPr>
        <w:t xml:space="preserve"> The importance of using gender pronouns, according to the argument being made, is to disrupt the status quo of a heteronormative society. Another reason for the use of gender pronouns is so that it can foster community and acceptance</w:t>
      </w:r>
      <w:r w:rsidR="00233E25" w:rsidRPr="001D6BBF">
        <w:rPr>
          <w:rFonts w:cstheme="minorHAnsi"/>
          <w:color w:val="333333"/>
          <w:sz w:val="24"/>
          <w:szCs w:val="24"/>
          <w:shd w:val="clear" w:color="auto" w:fill="FFFFFF"/>
        </w:rPr>
        <w:t xml:space="preserve"> in society</w:t>
      </w:r>
      <w:r w:rsidRPr="001D6BBF">
        <w:rPr>
          <w:rFonts w:cstheme="minorHAnsi"/>
          <w:color w:val="333333"/>
          <w:sz w:val="24"/>
          <w:szCs w:val="24"/>
          <w:shd w:val="clear" w:color="auto" w:fill="FFFFFF"/>
        </w:rPr>
        <w:t xml:space="preserve">. Many of the LGBT community have suffered harassment and physical assault because of the </w:t>
      </w:r>
      <w:r w:rsidR="00233E25" w:rsidRPr="001D6BBF">
        <w:rPr>
          <w:rFonts w:cstheme="minorHAnsi"/>
          <w:color w:val="333333"/>
          <w:sz w:val="24"/>
          <w:szCs w:val="24"/>
          <w:shd w:val="clear" w:color="auto" w:fill="FFFFFF"/>
        </w:rPr>
        <w:t xml:space="preserve">way they identify or even interact with the world around them. Another reason is tied with “coming out.” “The point of coming out is that a </w:t>
      </w:r>
      <w:r w:rsidR="00233E25" w:rsidRPr="001D6BBF">
        <w:rPr>
          <w:rFonts w:cstheme="minorHAnsi"/>
          <w:color w:val="333333"/>
          <w:sz w:val="24"/>
          <w:szCs w:val="24"/>
          <w:shd w:val="clear" w:color="auto" w:fill="FFFFFF"/>
        </w:rPr>
        <w:lastRenderedPageBreak/>
        <w:t>person can be recognized for who they truly are.”</w:t>
      </w:r>
      <w:r w:rsidR="00233E25" w:rsidRPr="001D6BBF">
        <w:rPr>
          <w:rStyle w:val="FootnoteReference"/>
          <w:rFonts w:cstheme="minorHAnsi"/>
          <w:color w:val="333333"/>
          <w:sz w:val="24"/>
          <w:szCs w:val="24"/>
          <w:shd w:val="clear" w:color="auto" w:fill="FFFFFF"/>
        </w:rPr>
        <w:footnoteReference w:id="18"/>
      </w:r>
      <w:r w:rsidR="00233E25" w:rsidRPr="001D6BBF">
        <w:rPr>
          <w:rFonts w:cstheme="minorHAnsi"/>
          <w:color w:val="333333"/>
          <w:sz w:val="24"/>
          <w:szCs w:val="24"/>
          <w:shd w:val="clear" w:color="auto" w:fill="FFFFFF"/>
        </w:rPr>
        <w:t xml:space="preserve"> Being recognized for who someone feels they truly are is one of the main points for using gender pronouns. </w:t>
      </w:r>
    </w:p>
    <w:p w14:paraId="00B35C96" w14:textId="12101938" w:rsidR="00466E07" w:rsidRPr="001D6BBF" w:rsidRDefault="00233E25" w:rsidP="001D6BBF">
      <w:pPr>
        <w:spacing w:line="480" w:lineRule="auto"/>
        <w:ind w:firstLine="720"/>
        <w:rPr>
          <w:rFonts w:cstheme="minorHAnsi"/>
          <w:color w:val="333333"/>
          <w:sz w:val="24"/>
          <w:szCs w:val="24"/>
          <w:shd w:val="clear" w:color="auto" w:fill="FFFFFF"/>
        </w:rPr>
      </w:pPr>
      <w:r w:rsidRPr="001D6BBF">
        <w:rPr>
          <w:rFonts w:cstheme="minorHAnsi"/>
          <w:color w:val="333333"/>
          <w:sz w:val="24"/>
          <w:szCs w:val="24"/>
          <w:shd w:val="clear" w:color="auto" w:fill="FFFFFF"/>
        </w:rPr>
        <w:t>That being said, it is not that simple. Many find that they are still exploring and discovering who they are. Not everyone, including those who identify with the LGBT community want to use gender pronouns. In one study, it was noted that “it was most often the cisgendered members of the group who wanted to begin meetings by naming pronouns.”</w:t>
      </w:r>
      <w:r w:rsidRPr="001D6BBF">
        <w:rPr>
          <w:rStyle w:val="FootnoteReference"/>
          <w:rFonts w:cstheme="minorHAnsi"/>
          <w:color w:val="333333"/>
          <w:sz w:val="24"/>
          <w:szCs w:val="24"/>
          <w:shd w:val="clear" w:color="auto" w:fill="FFFFFF"/>
        </w:rPr>
        <w:footnoteReference w:id="19"/>
      </w:r>
      <w:r w:rsidRPr="001D6BBF">
        <w:rPr>
          <w:rFonts w:cstheme="minorHAnsi"/>
          <w:color w:val="333333"/>
          <w:sz w:val="24"/>
          <w:szCs w:val="24"/>
          <w:shd w:val="clear" w:color="auto" w:fill="FFFFFF"/>
        </w:rPr>
        <w:t xml:space="preserve"> Those with shifting identities (a fluid relationship with gender) found it difficult to identify with a certain pronoun. The pronouns in the English language are “affronting and non-inclusive.”</w:t>
      </w:r>
      <w:r w:rsidRPr="001D6BBF">
        <w:rPr>
          <w:rStyle w:val="FootnoteReference"/>
          <w:rFonts w:cstheme="minorHAnsi"/>
          <w:color w:val="333333"/>
          <w:sz w:val="24"/>
          <w:szCs w:val="24"/>
          <w:shd w:val="clear" w:color="auto" w:fill="FFFFFF"/>
        </w:rPr>
        <w:footnoteReference w:id="20"/>
      </w:r>
      <w:r w:rsidR="00362644" w:rsidRPr="001D6BBF">
        <w:rPr>
          <w:rFonts w:cstheme="minorHAnsi"/>
          <w:color w:val="333333"/>
          <w:sz w:val="24"/>
          <w:szCs w:val="24"/>
          <w:shd w:val="clear" w:color="auto" w:fill="FFFFFF"/>
        </w:rPr>
        <w:t xml:space="preserve"> What was found in this study is that some </w:t>
      </w:r>
      <w:r w:rsidR="00192352" w:rsidRPr="001D6BBF">
        <w:rPr>
          <w:rFonts w:cstheme="minorHAnsi"/>
          <w:color w:val="333333"/>
          <w:sz w:val="24"/>
          <w:szCs w:val="24"/>
          <w:shd w:val="clear" w:color="auto" w:fill="FFFFFF"/>
        </w:rPr>
        <w:t xml:space="preserve">LGBT </w:t>
      </w:r>
      <w:r w:rsidR="00362644" w:rsidRPr="001D6BBF">
        <w:rPr>
          <w:rFonts w:cstheme="minorHAnsi"/>
          <w:color w:val="333333"/>
          <w:sz w:val="24"/>
          <w:szCs w:val="24"/>
          <w:shd w:val="clear" w:color="auto" w:fill="FFFFFF"/>
        </w:rPr>
        <w:t xml:space="preserve">students were ok with using gender pronouns </w:t>
      </w:r>
      <w:r w:rsidR="00192352" w:rsidRPr="001D6BBF">
        <w:rPr>
          <w:rFonts w:cstheme="minorHAnsi"/>
          <w:color w:val="333333"/>
          <w:sz w:val="24"/>
          <w:szCs w:val="24"/>
          <w:shd w:val="clear" w:color="auto" w:fill="FFFFFF"/>
        </w:rPr>
        <w:t xml:space="preserve">while others were not, often shifting pronouns every other meeting. So, although gender pronouns can be a positive step forward, according to their argument, it can also hinder progress in that gender pronouns only furthers the heteronormative worldview. </w:t>
      </w:r>
    </w:p>
    <w:p w14:paraId="0EA441CE" w14:textId="0E4B28F5" w:rsidR="00192352" w:rsidRPr="001D6BBF" w:rsidRDefault="00192352" w:rsidP="001D6BBF">
      <w:pPr>
        <w:spacing w:line="480" w:lineRule="auto"/>
        <w:ind w:firstLine="720"/>
        <w:rPr>
          <w:rFonts w:cstheme="minorHAnsi"/>
          <w:color w:val="333333"/>
          <w:sz w:val="24"/>
          <w:szCs w:val="24"/>
          <w:shd w:val="clear" w:color="auto" w:fill="FFFFFF"/>
        </w:rPr>
      </w:pPr>
      <w:r w:rsidRPr="001D6BBF">
        <w:rPr>
          <w:rFonts w:cstheme="minorHAnsi"/>
          <w:color w:val="333333"/>
          <w:sz w:val="24"/>
          <w:szCs w:val="24"/>
          <w:shd w:val="clear" w:color="auto" w:fill="FFFFFF"/>
        </w:rPr>
        <w:t>Having established this basic understanding of compelled speech and gender pronouns, we may now address the ethical concern of compelling individuals to use gender pronouns from a moral relativists perspective. Moral relativism</w:t>
      </w:r>
      <w:r w:rsidR="0023590B" w:rsidRPr="001D6BBF">
        <w:rPr>
          <w:rFonts w:cstheme="minorHAnsi"/>
          <w:color w:val="333333"/>
          <w:sz w:val="24"/>
          <w:szCs w:val="24"/>
          <w:shd w:val="clear" w:color="auto" w:fill="FFFFFF"/>
        </w:rPr>
        <w:t xml:space="preserve"> may be categorized into two kinds: Metaethical and Normative relativism. Metaethical relativism “holds that conflicting moral judgments can both be correct</w:t>
      </w:r>
      <w:r w:rsidR="001A7095" w:rsidRPr="001D6BBF">
        <w:rPr>
          <w:rFonts w:cstheme="minorHAnsi"/>
          <w:color w:val="333333"/>
          <w:sz w:val="24"/>
          <w:szCs w:val="24"/>
          <w:shd w:val="clear" w:color="auto" w:fill="FFFFFF"/>
        </w:rPr>
        <w:t>.”</w:t>
      </w:r>
      <w:r w:rsidR="001A7095" w:rsidRPr="001D6BBF">
        <w:rPr>
          <w:rStyle w:val="FootnoteReference"/>
          <w:rFonts w:cstheme="minorHAnsi"/>
          <w:color w:val="333333"/>
          <w:sz w:val="24"/>
          <w:szCs w:val="24"/>
          <w:shd w:val="clear" w:color="auto" w:fill="FFFFFF"/>
        </w:rPr>
        <w:footnoteReference w:id="21"/>
      </w:r>
      <w:r w:rsidR="001A7095" w:rsidRPr="001D6BBF">
        <w:rPr>
          <w:rFonts w:cstheme="minorHAnsi"/>
          <w:color w:val="333333"/>
          <w:sz w:val="24"/>
          <w:szCs w:val="24"/>
          <w:shd w:val="clear" w:color="auto" w:fill="FFFFFF"/>
        </w:rPr>
        <w:t xml:space="preserve"> What this means is that in a discussion of what is moral, conflicting ideas or judgments does not demonstrate what is right or wrong. In the relativists perspective, both may be right because they may be talking about the same moral principle but come to different </w:t>
      </w:r>
      <w:r w:rsidR="001A7095" w:rsidRPr="001D6BBF">
        <w:rPr>
          <w:rFonts w:cstheme="minorHAnsi"/>
          <w:color w:val="333333"/>
          <w:sz w:val="24"/>
          <w:szCs w:val="24"/>
          <w:shd w:val="clear" w:color="auto" w:fill="FFFFFF"/>
        </w:rPr>
        <w:lastRenderedPageBreak/>
        <w:t>outcomes. Normative relativism “holds that we have moral reason not to impose our moral views on others if their opposing views are as correct as ours.”</w:t>
      </w:r>
      <w:r w:rsidR="001A7095" w:rsidRPr="001D6BBF">
        <w:rPr>
          <w:rStyle w:val="FootnoteReference"/>
          <w:rFonts w:cstheme="minorHAnsi"/>
          <w:color w:val="333333"/>
          <w:sz w:val="24"/>
          <w:szCs w:val="24"/>
          <w:shd w:val="clear" w:color="auto" w:fill="FFFFFF"/>
        </w:rPr>
        <w:footnoteReference w:id="22"/>
      </w:r>
      <w:r w:rsidR="001A7095" w:rsidRPr="001D6BBF">
        <w:rPr>
          <w:rFonts w:cstheme="minorHAnsi"/>
          <w:color w:val="333333"/>
          <w:sz w:val="24"/>
          <w:szCs w:val="24"/>
          <w:shd w:val="clear" w:color="auto" w:fill="FFFFFF"/>
        </w:rPr>
        <w:t xml:space="preserve"> Essentially, a view may be normative and relative if it prescribes what one ought to do while simultaneously allowing moral judgments to conflict and be true at the same time. The emphasis here is that we cannot impose our views or coerce our view because they may be just as right as we are. </w:t>
      </w:r>
    </w:p>
    <w:p w14:paraId="3B3CBC20" w14:textId="4FBA9E5C" w:rsidR="001A7095" w:rsidRPr="001D6BBF" w:rsidRDefault="001A7095" w:rsidP="001D6BBF">
      <w:pPr>
        <w:spacing w:line="480" w:lineRule="auto"/>
        <w:ind w:firstLine="720"/>
        <w:rPr>
          <w:rFonts w:cstheme="minorHAnsi"/>
          <w:color w:val="333333"/>
          <w:sz w:val="24"/>
          <w:szCs w:val="24"/>
          <w:shd w:val="clear" w:color="auto" w:fill="FFFFFF"/>
        </w:rPr>
      </w:pPr>
      <w:r w:rsidRPr="001D6BBF">
        <w:rPr>
          <w:rFonts w:cstheme="minorHAnsi"/>
          <w:color w:val="333333"/>
          <w:sz w:val="24"/>
          <w:szCs w:val="24"/>
          <w:shd w:val="clear" w:color="auto" w:fill="FFFFFF"/>
        </w:rPr>
        <w:t>There is a hybrid form of relativism that combines metaethical and normative relativism in which “there are certain values that are universal in all true moralities.” The basis is upon the reality of fundamental moral disagreements. The premise of this is that there are disagreements present in many ethical systems. In one system you will find the central focus to be on the individual while in another the system will be centrally focused on the community. Which system is ultimately correct?</w:t>
      </w:r>
      <w:r w:rsidR="007B6C6B" w:rsidRPr="001D6BBF">
        <w:rPr>
          <w:rFonts w:cstheme="minorHAnsi"/>
          <w:color w:val="333333"/>
          <w:sz w:val="24"/>
          <w:szCs w:val="24"/>
          <w:shd w:val="clear" w:color="auto" w:fill="FFFFFF"/>
        </w:rPr>
        <w:t xml:space="preserve"> </w:t>
      </w:r>
      <w:r w:rsidR="007B6C6B" w:rsidRPr="001D6BBF">
        <w:rPr>
          <w:rFonts w:cstheme="minorHAnsi"/>
          <w:color w:val="333333"/>
          <w:sz w:val="24"/>
          <w:szCs w:val="24"/>
          <w:shd w:val="clear" w:color="auto" w:fill="FFFFFF"/>
        </w:rPr>
        <w:t>“The sense that fundamental moral disagreement is wide and deep enough such that no single internally consistent morality could capture all that is of importance to human beings is an important motivation for metaethical relativism.”</w:t>
      </w:r>
      <w:r w:rsidR="007B6C6B" w:rsidRPr="001D6BBF">
        <w:rPr>
          <w:rStyle w:val="FootnoteReference"/>
          <w:rFonts w:cstheme="minorHAnsi"/>
          <w:color w:val="333333"/>
          <w:sz w:val="24"/>
          <w:szCs w:val="24"/>
          <w:shd w:val="clear" w:color="auto" w:fill="FFFFFF"/>
        </w:rPr>
        <w:footnoteReference w:id="23"/>
      </w:r>
      <w:r w:rsidR="007B6C6B" w:rsidRPr="001D6BBF">
        <w:rPr>
          <w:rFonts w:cstheme="minorHAnsi"/>
          <w:color w:val="333333"/>
          <w:sz w:val="24"/>
          <w:szCs w:val="24"/>
          <w:shd w:val="clear" w:color="auto" w:fill="FFFFFF"/>
        </w:rPr>
        <w:t xml:space="preserve"> Because there are no single internally consistent morals, there is flexibility or fluidity in moral judgments. Coming back to this hybrid form of relativism, “it is possible,” if one accepts the reality of fundamental moral disagreement, “to argue that the value of accommodation is necessary to foster some minimally acceptable degree of social coordination.”</w:t>
      </w:r>
      <w:r w:rsidR="007B6C6B" w:rsidRPr="001D6BBF">
        <w:rPr>
          <w:rStyle w:val="FootnoteReference"/>
          <w:rFonts w:cstheme="minorHAnsi"/>
          <w:color w:val="333333"/>
          <w:sz w:val="24"/>
          <w:szCs w:val="24"/>
          <w:shd w:val="clear" w:color="auto" w:fill="FFFFFF"/>
        </w:rPr>
        <w:footnoteReference w:id="24"/>
      </w:r>
      <w:r w:rsidR="007B6C6B" w:rsidRPr="001D6BBF">
        <w:rPr>
          <w:rFonts w:cstheme="minorHAnsi"/>
          <w:color w:val="333333"/>
          <w:sz w:val="24"/>
          <w:szCs w:val="24"/>
          <w:shd w:val="clear" w:color="auto" w:fill="FFFFFF"/>
        </w:rPr>
        <w:t xml:space="preserve"> The point being made here is that some relativists hold that there are present in society certain values that everyone holds in order to organize and order society. One point of clarification should be noted about the term accommodation. “Accommodation is here defined as the commitment to supporting </w:t>
      </w:r>
      <w:r w:rsidR="007B6C6B" w:rsidRPr="001D6BBF">
        <w:rPr>
          <w:rFonts w:cstheme="minorHAnsi"/>
          <w:color w:val="333333"/>
          <w:sz w:val="24"/>
          <w:szCs w:val="24"/>
          <w:shd w:val="clear" w:color="auto" w:fill="FFFFFF"/>
        </w:rPr>
        <w:lastRenderedPageBreak/>
        <w:t>noncoercive and constructive relations with other in spite of one’s disagreements with them.”</w:t>
      </w:r>
      <w:r w:rsidR="007B6C6B" w:rsidRPr="001D6BBF">
        <w:rPr>
          <w:rStyle w:val="FootnoteReference"/>
          <w:rFonts w:cstheme="minorHAnsi"/>
          <w:color w:val="333333"/>
          <w:sz w:val="24"/>
          <w:szCs w:val="24"/>
          <w:shd w:val="clear" w:color="auto" w:fill="FFFFFF"/>
        </w:rPr>
        <w:footnoteReference w:id="25"/>
      </w:r>
      <w:r w:rsidR="007B6C6B" w:rsidRPr="001D6BBF">
        <w:rPr>
          <w:rFonts w:cstheme="minorHAnsi"/>
          <w:color w:val="333333"/>
          <w:sz w:val="24"/>
          <w:szCs w:val="24"/>
          <w:shd w:val="clear" w:color="auto" w:fill="FFFFFF"/>
        </w:rPr>
        <w:t xml:space="preserve"> There are other forms of relativism but to understand the general principles of the ethical theory will suffice in order to determine whether a relativist would find it ethical to compel others to use gender pronouns.</w:t>
      </w:r>
    </w:p>
    <w:p w14:paraId="455A2150" w14:textId="693A0D34" w:rsidR="007B6C6B" w:rsidRPr="001D6BBF" w:rsidRDefault="007B6C6B" w:rsidP="001D6BBF">
      <w:pPr>
        <w:spacing w:line="480" w:lineRule="auto"/>
        <w:ind w:firstLine="720"/>
        <w:rPr>
          <w:rFonts w:cstheme="minorHAnsi"/>
          <w:color w:val="333333"/>
          <w:sz w:val="24"/>
          <w:szCs w:val="24"/>
          <w:shd w:val="clear" w:color="auto" w:fill="FFFFFF"/>
        </w:rPr>
      </w:pPr>
      <w:r w:rsidRPr="001D6BBF">
        <w:rPr>
          <w:rFonts w:cstheme="minorHAnsi"/>
          <w:color w:val="333333"/>
          <w:sz w:val="24"/>
          <w:szCs w:val="24"/>
          <w:shd w:val="clear" w:color="auto" w:fill="FFFFFF"/>
        </w:rPr>
        <w:t xml:space="preserve">It would seem that </w:t>
      </w:r>
      <w:r w:rsidR="008A7704" w:rsidRPr="001D6BBF">
        <w:rPr>
          <w:rFonts w:cstheme="minorHAnsi"/>
          <w:color w:val="333333"/>
          <w:sz w:val="24"/>
          <w:szCs w:val="24"/>
          <w:shd w:val="clear" w:color="auto" w:fill="FFFFFF"/>
        </w:rPr>
        <w:t xml:space="preserve">there could be two arguments made from a moral relativists perspective. The first, I will argue from a metaethical relativist perspective. Both sides of the argument for compelling speech for gender pronouns presents a moral judgment that may both be correct. The underlying value present is the respect toward the individual, whether it is the individual who identifies as LGBT or the individual who has taken issue with the use of these terms. The LGBT who prefers gender pronouns can make the argument that they should be protected from harassment and attacks in society. There are other categories of individuals who are already protected in the legal code and they may find it important for their health and their feelings that their identity is affirmed. Equally as true, the conservative Christian or individual who takes issue with the use of gender pronouns can argue that it is important for their identity as Christians or whatever religion to abstain from using such terms. The worldview of the Christian is that sex-gender-sexual orientation are the same while the worldview of the LGBT is that they are not. Each are right in their own judgment from a metaethical relativist perspective. </w:t>
      </w:r>
    </w:p>
    <w:p w14:paraId="731968AB" w14:textId="64615C7A" w:rsidR="008A7704" w:rsidRPr="001D6BBF" w:rsidRDefault="008A7704" w:rsidP="001D6BBF">
      <w:pPr>
        <w:spacing w:line="480" w:lineRule="auto"/>
        <w:ind w:firstLine="720"/>
        <w:rPr>
          <w:rFonts w:cstheme="minorHAnsi"/>
          <w:color w:val="333333"/>
          <w:sz w:val="24"/>
          <w:szCs w:val="24"/>
          <w:shd w:val="clear" w:color="auto" w:fill="FFFFFF"/>
        </w:rPr>
      </w:pPr>
      <w:r w:rsidRPr="001D6BBF">
        <w:rPr>
          <w:rFonts w:cstheme="minorHAnsi"/>
          <w:color w:val="333333"/>
          <w:sz w:val="24"/>
          <w:szCs w:val="24"/>
          <w:shd w:val="clear" w:color="auto" w:fill="FFFFFF"/>
        </w:rPr>
        <w:t xml:space="preserve">Where the argument may tend to favor the person who takes issue in compelling speech for gender pronouns is from a normative relativist perspective. The normative relativist argues that “we have moral reason (but not necessarily conclusive or overriding reason) not to impose </w:t>
      </w:r>
      <w:r w:rsidRPr="001D6BBF">
        <w:rPr>
          <w:rFonts w:cstheme="minorHAnsi"/>
          <w:color w:val="333333"/>
          <w:sz w:val="24"/>
          <w:szCs w:val="24"/>
          <w:shd w:val="clear" w:color="auto" w:fill="FFFFFF"/>
        </w:rPr>
        <w:lastRenderedPageBreak/>
        <w:t>our moral views on others if their opposing views are as correct as ours.”</w:t>
      </w:r>
      <w:r w:rsidRPr="001D6BBF">
        <w:rPr>
          <w:rStyle w:val="FootnoteReference"/>
          <w:rFonts w:cstheme="minorHAnsi"/>
          <w:color w:val="333333"/>
          <w:sz w:val="24"/>
          <w:szCs w:val="24"/>
          <w:shd w:val="clear" w:color="auto" w:fill="FFFFFF"/>
        </w:rPr>
        <w:footnoteReference w:id="26"/>
      </w:r>
      <w:r w:rsidRPr="001D6BBF">
        <w:rPr>
          <w:rFonts w:cstheme="minorHAnsi"/>
          <w:color w:val="333333"/>
          <w:sz w:val="24"/>
          <w:szCs w:val="24"/>
          <w:shd w:val="clear" w:color="auto" w:fill="FFFFFF"/>
        </w:rPr>
        <w:t xml:space="preserve"> Even if they were to accept the value of accommodation, this value can only be implemented in a noncoercive way. The point of compelled speech is that the government is coercively compelling someone to use language that may not be acceptable to the individuals beliefs or values for the sake of the LBGT individual. </w:t>
      </w:r>
      <w:r w:rsidR="001D6BBF" w:rsidRPr="001D6BBF">
        <w:rPr>
          <w:rFonts w:cstheme="minorHAnsi"/>
          <w:color w:val="333333"/>
          <w:sz w:val="24"/>
          <w:szCs w:val="24"/>
          <w:shd w:val="clear" w:color="auto" w:fill="FFFFFF"/>
        </w:rPr>
        <w:t>At the same time though, there may be implicit agreements</w:t>
      </w:r>
      <w:r w:rsidR="001D6BBF" w:rsidRPr="001D6BBF">
        <w:rPr>
          <w:rStyle w:val="FootnoteReference"/>
          <w:rFonts w:cstheme="minorHAnsi"/>
          <w:color w:val="333333"/>
          <w:sz w:val="24"/>
          <w:szCs w:val="24"/>
          <w:shd w:val="clear" w:color="auto" w:fill="FFFFFF"/>
        </w:rPr>
        <w:footnoteReference w:id="27"/>
      </w:r>
      <w:r w:rsidR="001D6BBF" w:rsidRPr="001D6BBF">
        <w:rPr>
          <w:rFonts w:cstheme="minorHAnsi"/>
          <w:color w:val="333333"/>
          <w:sz w:val="24"/>
          <w:szCs w:val="24"/>
          <w:shd w:val="clear" w:color="auto" w:fill="FFFFFF"/>
        </w:rPr>
        <w:t xml:space="preserve"> or norms of reciprocity</w:t>
      </w:r>
      <w:r w:rsidR="001D6BBF" w:rsidRPr="001D6BBF">
        <w:rPr>
          <w:rStyle w:val="FootnoteReference"/>
          <w:rFonts w:cstheme="minorHAnsi"/>
          <w:color w:val="333333"/>
          <w:sz w:val="24"/>
          <w:szCs w:val="24"/>
          <w:shd w:val="clear" w:color="auto" w:fill="FFFFFF"/>
        </w:rPr>
        <w:footnoteReference w:id="28"/>
      </w:r>
      <w:r w:rsidR="001D6BBF" w:rsidRPr="001D6BBF">
        <w:rPr>
          <w:rFonts w:cstheme="minorHAnsi"/>
          <w:color w:val="333333"/>
          <w:sz w:val="24"/>
          <w:szCs w:val="24"/>
          <w:shd w:val="clear" w:color="auto" w:fill="FFFFFF"/>
        </w:rPr>
        <w:t xml:space="preserve"> that may help determine the level of accommodation toward the LGBT and the Christian. </w:t>
      </w:r>
    </w:p>
    <w:p w14:paraId="06259EDF" w14:textId="105DD3ED" w:rsidR="001D6BBF" w:rsidRPr="001D6BBF" w:rsidRDefault="001D6BBF" w:rsidP="001D6BBF">
      <w:pPr>
        <w:spacing w:line="480" w:lineRule="auto"/>
        <w:ind w:firstLine="720"/>
        <w:rPr>
          <w:rFonts w:cstheme="minorHAnsi"/>
          <w:color w:val="333333"/>
          <w:sz w:val="24"/>
          <w:szCs w:val="24"/>
          <w:shd w:val="clear" w:color="auto" w:fill="FFFFFF"/>
        </w:rPr>
      </w:pPr>
      <w:r w:rsidRPr="001D6BBF">
        <w:rPr>
          <w:rFonts w:cstheme="minorHAnsi"/>
          <w:color w:val="333333"/>
          <w:sz w:val="24"/>
          <w:szCs w:val="24"/>
          <w:shd w:val="clear" w:color="auto" w:fill="FFFFFF"/>
        </w:rPr>
        <w:t xml:space="preserve">To conclude, I find that the moral relativist is not capable of enacting laws or determining whether compelling individuals to use gender pronouns is morally right or wrong. Although one could argue from a normative relativist perspective that coercion is wrong, societal norms dictate whether this is right or wrong. According to our constitution, compelled speech is wrong when it suppresses the freedom of other individuals to express themselves. The qualifier to this is that speech must never incite violence against another or else that is hate speech. Coercion to do something against one’s beliefs is something that a relativist would determine is true for that person because of the value of autonomy and accommodation. Just as much as the LGBT community wants to be accommodated, so do the conservative Christians or other individuals who have problem with using gender pronouns. At the end of the day, the moral relativist can argue for or against compelling speech for gender pronouns but must accept that both sides are correct. </w:t>
      </w:r>
    </w:p>
    <w:p w14:paraId="6886F43A" w14:textId="1024FDE6" w:rsidR="00325EC9" w:rsidRDefault="00325EC9" w:rsidP="00325EC9"/>
    <w:p w14:paraId="45F81C8F" w14:textId="7CE48142" w:rsidR="00325EC9" w:rsidRPr="00622311" w:rsidRDefault="00325EC9" w:rsidP="00325EC9">
      <w:pPr>
        <w:rPr>
          <w:sz w:val="24"/>
          <w:szCs w:val="24"/>
        </w:rPr>
      </w:pPr>
      <w:r w:rsidRPr="00622311">
        <w:rPr>
          <w:sz w:val="24"/>
          <w:szCs w:val="24"/>
        </w:rPr>
        <w:lastRenderedPageBreak/>
        <w:t>Bibliography</w:t>
      </w:r>
    </w:p>
    <w:p w14:paraId="4CD244D2" w14:textId="3802103F" w:rsidR="002C42C5" w:rsidRPr="002C42C5" w:rsidRDefault="002C42C5" w:rsidP="002C42C5">
      <w:pPr>
        <w:pStyle w:val="NormalWeb"/>
        <w:ind w:left="567" w:hanging="567"/>
        <w:rPr>
          <w:rFonts w:asciiTheme="minorHAnsi" w:hAnsiTheme="minorHAnsi" w:cstheme="minorHAnsi"/>
        </w:rPr>
      </w:pPr>
      <w:r w:rsidRPr="002C42C5">
        <w:rPr>
          <w:rFonts w:asciiTheme="minorHAnsi" w:hAnsiTheme="minorHAnsi" w:cstheme="minorHAnsi"/>
        </w:rPr>
        <w:t xml:space="preserve">“Amdt1.7.12.1 Overview of Compelled Speech - Constitution.congress.gov.” Accessed March 21, 2023. https://constitution.congress.gov/browse/essay/amdt1-7-12-1/ALDE_00000769/. </w:t>
      </w:r>
    </w:p>
    <w:p w14:paraId="05119869" w14:textId="11322C18" w:rsidR="00622311" w:rsidRPr="00622311" w:rsidRDefault="00622311" w:rsidP="00622311">
      <w:pPr>
        <w:ind w:left="540" w:hanging="540"/>
        <w:rPr>
          <w:rFonts w:cstheme="minorHAnsi"/>
          <w:sz w:val="24"/>
          <w:szCs w:val="24"/>
        </w:rPr>
      </w:pPr>
      <w:r w:rsidRPr="00622311">
        <w:rPr>
          <w:rFonts w:cstheme="minorHAnsi"/>
          <w:sz w:val="24"/>
          <w:szCs w:val="24"/>
        </w:rPr>
        <w:t>Bhagwat, Ashutosh Avinash. 2019. “The Conscience of the Baker: Religion and Compelled Speech.”</w:t>
      </w:r>
      <w:r>
        <w:rPr>
          <w:rFonts w:cstheme="minorHAnsi"/>
          <w:sz w:val="24"/>
          <w:szCs w:val="24"/>
        </w:rPr>
        <w:t xml:space="preserve"> </w:t>
      </w:r>
      <w:r w:rsidRPr="00622311">
        <w:rPr>
          <w:rFonts w:cstheme="minorHAnsi"/>
          <w:sz w:val="24"/>
          <w:szCs w:val="24"/>
        </w:rPr>
        <w:t>https://search.ebscohost.com/login/aspx?direct+true&amp;db+edssch&amp;AN=edssch.oai%3aescholarship.org%2fark%3a%2f13030%2fgt4x43j1h5&amp;site=eds-live.</w:t>
      </w:r>
    </w:p>
    <w:p w14:paraId="608889ED" w14:textId="49516FB7" w:rsidR="00622311" w:rsidRPr="00622311" w:rsidRDefault="00622311" w:rsidP="00622311">
      <w:pPr>
        <w:pStyle w:val="NormalWeb"/>
        <w:ind w:left="567" w:hanging="567"/>
        <w:rPr>
          <w:rFonts w:asciiTheme="minorHAnsi" w:hAnsiTheme="minorHAnsi" w:cstheme="minorHAnsi"/>
        </w:rPr>
      </w:pPr>
      <w:r w:rsidRPr="00622311">
        <w:rPr>
          <w:rFonts w:asciiTheme="minorHAnsi" w:hAnsiTheme="minorHAnsi" w:cstheme="minorHAnsi"/>
        </w:rPr>
        <w:t xml:space="preserve">Boertje, David M. “New California Law Allows Jail Time for Using Wrong Gender Pronoun.” San Diego Criminal Lawyers Blog, April 11, 2018. https://www.sandiegocriminallawyersblog.com/new-california-law-allows-jail-time-using-wrong-gender-pronoun/. </w:t>
      </w:r>
    </w:p>
    <w:p w14:paraId="7246008B" w14:textId="1AB9AF58" w:rsidR="00622311" w:rsidRPr="00622311" w:rsidRDefault="00622311" w:rsidP="00622311">
      <w:pPr>
        <w:ind w:left="540" w:hanging="540"/>
        <w:rPr>
          <w:rFonts w:cstheme="minorHAnsi"/>
          <w:sz w:val="24"/>
          <w:szCs w:val="24"/>
        </w:rPr>
      </w:pPr>
      <w:r w:rsidRPr="00622311">
        <w:rPr>
          <w:rFonts w:cstheme="minorHAnsi"/>
          <w:sz w:val="24"/>
          <w:szCs w:val="24"/>
        </w:rPr>
        <w:t xml:space="preserve">Crossman, Brenda. 2018. “Gender Identity, Gender Pronouns, and Freedom of Expression: Bill C-16 and the Traction of Specious Legal Claims.” </w:t>
      </w:r>
      <w:r w:rsidRPr="00622311">
        <w:rPr>
          <w:rFonts w:cstheme="minorHAnsi"/>
          <w:i/>
          <w:iCs/>
          <w:sz w:val="24"/>
          <w:szCs w:val="24"/>
        </w:rPr>
        <w:t>University of Toronto Law Journal</w:t>
      </w:r>
      <w:r w:rsidRPr="00622311">
        <w:rPr>
          <w:rFonts w:cstheme="minorHAnsi"/>
          <w:sz w:val="24"/>
          <w:szCs w:val="24"/>
        </w:rPr>
        <w:t xml:space="preserve"> 68 (1): 37-39.</w:t>
      </w:r>
      <w:r>
        <w:rPr>
          <w:rFonts w:cstheme="minorHAnsi"/>
          <w:sz w:val="24"/>
          <w:szCs w:val="24"/>
        </w:rPr>
        <w:t xml:space="preserve"> </w:t>
      </w:r>
      <w:r w:rsidRPr="00622311">
        <w:rPr>
          <w:rFonts w:cstheme="minorHAnsi"/>
          <w:sz w:val="24"/>
          <w:szCs w:val="24"/>
        </w:rPr>
        <w:t>https://search.ebscohost.com/login.aspx?direct=true&amp;db=edsjsr&amp;AN=edsjsr.90019658&amp;site=eds-live.</w:t>
      </w:r>
    </w:p>
    <w:p w14:paraId="14BE4242" w14:textId="7C87C20F" w:rsidR="00866340" w:rsidRDefault="00866340" w:rsidP="00866340">
      <w:pPr>
        <w:ind w:left="540" w:hanging="540"/>
        <w:rPr>
          <w:rFonts w:cstheme="minorHAnsi"/>
          <w:sz w:val="24"/>
          <w:szCs w:val="24"/>
        </w:rPr>
      </w:pPr>
      <w:r w:rsidRPr="00622311">
        <w:rPr>
          <w:rFonts w:cstheme="minorHAnsi"/>
          <w:sz w:val="24"/>
          <w:szCs w:val="24"/>
        </w:rPr>
        <w:t xml:space="preserve">Hurford, James. 2022. “A Tale of Pronouns, ‘Gay Cakes’ and Conscience: Compelled Speech After </w:t>
      </w:r>
      <w:r w:rsidRPr="00622311">
        <w:rPr>
          <w:rFonts w:cstheme="minorHAnsi"/>
          <w:i/>
          <w:iCs/>
          <w:sz w:val="24"/>
          <w:szCs w:val="24"/>
        </w:rPr>
        <w:t>Mackereth v DWP</w:t>
      </w:r>
      <w:r w:rsidRPr="00622311">
        <w:rPr>
          <w:rFonts w:cstheme="minorHAnsi"/>
          <w:sz w:val="24"/>
          <w:szCs w:val="24"/>
        </w:rPr>
        <w:t xml:space="preserve">. </w:t>
      </w:r>
      <w:r w:rsidRPr="00622311">
        <w:rPr>
          <w:rFonts w:cstheme="minorHAnsi"/>
          <w:i/>
          <w:iCs/>
          <w:sz w:val="24"/>
          <w:szCs w:val="24"/>
        </w:rPr>
        <w:t>Judicial Review</w:t>
      </w:r>
      <w:r w:rsidRPr="00622311">
        <w:rPr>
          <w:rFonts w:cstheme="minorHAnsi"/>
          <w:sz w:val="24"/>
          <w:szCs w:val="24"/>
        </w:rPr>
        <w:t>, October, 1-17.</w:t>
      </w:r>
    </w:p>
    <w:p w14:paraId="4A619E34" w14:textId="5C831E3E" w:rsidR="005252FC" w:rsidRPr="005252FC" w:rsidRDefault="005252FC" w:rsidP="005252FC">
      <w:pPr>
        <w:pStyle w:val="NormalWeb"/>
        <w:ind w:left="567" w:hanging="567"/>
        <w:rPr>
          <w:rFonts w:asciiTheme="minorHAnsi" w:hAnsiTheme="minorHAnsi" w:cstheme="minorHAnsi"/>
        </w:rPr>
      </w:pPr>
      <w:r w:rsidRPr="005252FC">
        <w:rPr>
          <w:rFonts w:asciiTheme="minorHAnsi" w:hAnsiTheme="minorHAnsi" w:cstheme="minorHAnsi"/>
        </w:rPr>
        <w:t xml:space="preserve">Jr., David L. Hudson. “Compelled Speech.” Compelled Speech. Accessed March 21, 2023. https://www.mtsu.edu/first-amendment/article/933/compelled-speech. </w:t>
      </w:r>
    </w:p>
    <w:p w14:paraId="2C1E00D6" w14:textId="608DABCE" w:rsidR="00622311" w:rsidRDefault="00622311" w:rsidP="00622311">
      <w:pPr>
        <w:pStyle w:val="NormalWeb"/>
        <w:ind w:left="567" w:hanging="567"/>
        <w:rPr>
          <w:rFonts w:asciiTheme="minorHAnsi" w:hAnsiTheme="minorHAnsi" w:cstheme="minorHAnsi"/>
        </w:rPr>
      </w:pPr>
      <w:r w:rsidRPr="00622311">
        <w:rPr>
          <w:rFonts w:asciiTheme="minorHAnsi" w:hAnsiTheme="minorHAnsi" w:cstheme="minorHAnsi"/>
        </w:rPr>
        <w:t xml:space="preserve">LaFollette, Hugh. </w:t>
      </w:r>
      <w:r w:rsidRPr="00622311">
        <w:rPr>
          <w:rFonts w:asciiTheme="minorHAnsi" w:hAnsiTheme="minorHAnsi" w:cstheme="minorHAnsi"/>
          <w:i/>
          <w:iCs/>
        </w:rPr>
        <w:t>The International Encyclopedia of Ethics</w:t>
      </w:r>
      <w:r w:rsidRPr="00622311">
        <w:rPr>
          <w:rFonts w:asciiTheme="minorHAnsi" w:hAnsiTheme="minorHAnsi" w:cstheme="minorHAnsi"/>
        </w:rPr>
        <w:t>. Vol. 7. 9 vols. Chichester etc.: Wiley-Blackwell, 2013</w:t>
      </w:r>
      <w:r>
        <w:rPr>
          <w:rFonts w:asciiTheme="minorHAnsi" w:hAnsiTheme="minorHAnsi" w:cstheme="minorHAnsi"/>
        </w:rPr>
        <w:t>, 4488-4498</w:t>
      </w:r>
      <w:r w:rsidRPr="00622311">
        <w:rPr>
          <w:rFonts w:asciiTheme="minorHAnsi" w:hAnsiTheme="minorHAnsi" w:cstheme="minorHAnsi"/>
        </w:rPr>
        <w:t xml:space="preserve">. </w:t>
      </w:r>
    </w:p>
    <w:p w14:paraId="3604F473" w14:textId="3D30B0D2" w:rsidR="00F06C43" w:rsidRPr="00F06C43" w:rsidRDefault="00F06C43" w:rsidP="00622311">
      <w:pPr>
        <w:pStyle w:val="NormalWeb"/>
        <w:ind w:left="567" w:hanging="567"/>
        <w:rPr>
          <w:rFonts w:asciiTheme="minorHAnsi" w:hAnsiTheme="minorHAnsi" w:cstheme="minorHAnsi"/>
        </w:rPr>
      </w:pPr>
      <w:r>
        <w:rPr>
          <w:rFonts w:asciiTheme="minorHAnsi" w:hAnsiTheme="minorHAnsi" w:cstheme="minorHAnsi"/>
        </w:rPr>
        <w:t xml:space="preserve">Maria Cook. 2019. </w:t>
      </w:r>
      <w:r>
        <w:rPr>
          <w:rFonts w:asciiTheme="minorHAnsi" w:hAnsiTheme="minorHAnsi" w:cstheme="minorHAnsi"/>
          <w:i/>
          <w:iCs/>
        </w:rPr>
        <w:t>Gender Identity: Beyond Pronouns and Bathrooms.</w:t>
      </w:r>
      <w:r>
        <w:rPr>
          <w:rFonts w:asciiTheme="minorHAnsi" w:hAnsiTheme="minorHAnsi" w:cstheme="minorHAnsi"/>
        </w:rPr>
        <w:t xml:space="preserve"> Inquire &amp; Investigate. White River Junction, VT: Nomad Press. </w:t>
      </w:r>
      <w:hyperlink r:id="rId8" w:history="1">
        <w:r w:rsidRPr="00E16B74">
          <w:rPr>
            <w:rStyle w:val="Hyperlink"/>
            <w:rFonts w:asciiTheme="minorHAnsi" w:hAnsiTheme="minorHAnsi" w:cstheme="minorHAnsi"/>
          </w:rPr>
          <w:t>https://search.ebscohost.com/login.aspx?direct=true&amp;db=nlebk&amp;AN=2103731&amp;site=eds-live</w:t>
        </w:r>
      </w:hyperlink>
      <w:r>
        <w:rPr>
          <w:rFonts w:asciiTheme="minorHAnsi" w:hAnsiTheme="minorHAnsi" w:cstheme="minorHAnsi"/>
        </w:rPr>
        <w:t xml:space="preserve">. </w:t>
      </w:r>
    </w:p>
    <w:p w14:paraId="404AE0CE" w14:textId="2615E12B" w:rsidR="00866340" w:rsidRPr="00622311" w:rsidRDefault="00866340" w:rsidP="00866340">
      <w:pPr>
        <w:ind w:left="540" w:hanging="540"/>
        <w:rPr>
          <w:rFonts w:cstheme="minorHAnsi"/>
          <w:sz w:val="24"/>
          <w:szCs w:val="24"/>
        </w:rPr>
      </w:pPr>
      <w:r w:rsidRPr="00622311">
        <w:rPr>
          <w:rFonts w:cstheme="minorHAnsi"/>
          <w:sz w:val="24"/>
          <w:szCs w:val="24"/>
        </w:rPr>
        <w:t xml:space="preserve">McGlashan, Hayley, and Katie Fitzpatrick. 2018. “‘I Use Any Pronouns, and I’m Questioning Everything Else’: Transgender Youth and the Issue of Gender Pronouns.” </w:t>
      </w:r>
      <w:r w:rsidRPr="00622311">
        <w:rPr>
          <w:rFonts w:cstheme="minorHAnsi"/>
          <w:i/>
          <w:iCs/>
          <w:sz w:val="24"/>
          <w:szCs w:val="24"/>
        </w:rPr>
        <w:t>Sex Education</w:t>
      </w:r>
      <w:r w:rsidRPr="00622311">
        <w:rPr>
          <w:rFonts w:cstheme="minorHAnsi"/>
          <w:sz w:val="24"/>
          <w:szCs w:val="24"/>
        </w:rPr>
        <w:t xml:space="preserve"> 18 (3): 239-52. Doi:10.1080/14681811.2017.1419949.</w:t>
      </w:r>
    </w:p>
    <w:p w14:paraId="513C15BA" w14:textId="77777777" w:rsidR="00622311" w:rsidRDefault="00622311" w:rsidP="00866340">
      <w:pPr>
        <w:ind w:left="540" w:hanging="540"/>
      </w:pPr>
    </w:p>
    <w:sectPr w:rsidR="006223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B64D6" w14:textId="77777777" w:rsidR="00275B7E" w:rsidRDefault="00275B7E" w:rsidP="005252FC">
      <w:pPr>
        <w:spacing w:after="0" w:line="240" w:lineRule="auto"/>
      </w:pPr>
      <w:r>
        <w:separator/>
      </w:r>
    </w:p>
  </w:endnote>
  <w:endnote w:type="continuationSeparator" w:id="0">
    <w:p w14:paraId="2E3D07B6" w14:textId="77777777" w:rsidR="00275B7E" w:rsidRDefault="00275B7E" w:rsidP="00525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9F623" w14:textId="77777777" w:rsidR="00275B7E" w:rsidRDefault="00275B7E" w:rsidP="005252FC">
      <w:pPr>
        <w:spacing w:after="0" w:line="240" w:lineRule="auto"/>
      </w:pPr>
      <w:r>
        <w:separator/>
      </w:r>
    </w:p>
  </w:footnote>
  <w:footnote w:type="continuationSeparator" w:id="0">
    <w:p w14:paraId="1024707B" w14:textId="77777777" w:rsidR="00275B7E" w:rsidRDefault="00275B7E" w:rsidP="005252FC">
      <w:pPr>
        <w:spacing w:after="0" w:line="240" w:lineRule="auto"/>
      </w:pPr>
      <w:r>
        <w:continuationSeparator/>
      </w:r>
    </w:p>
  </w:footnote>
  <w:footnote w:id="1">
    <w:p w14:paraId="4BB096DC" w14:textId="234BFAD8" w:rsidR="005252FC" w:rsidRDefault="005252FC" w:rsidP="00B6797E">
      <w:pPr>
        <w:pStyle w:val="FootnoteText"/>
        <w:contextualSpacing/>
      </w:pPr>
      <w:r>
        <w:rPr>
          <w:rStyle w:val="FootnoteReference"/>
        </w:rPr>
        <w:footnoteRef/>
      </w:r>
      <w:r>
        <w:t xml:space="preserve"> </w:t>
      </w:r>
      <w:r>
        <w:t>David L. Hudson Jr., “Compelled Speech,” Compelled Speech, accessed March 21, 2023, https://www.mtsu.edu/first-amendment/article/933/compelled-speech.</w:t>
      </w:r>
    </w:p>
  </w:footnote>
  <w:footnote w:id="2">
    <w:p w14:paraId="7F138F3F" w14:textId="3E7E64E0" w:rsidR="00B43294" w:rsidRPr="00B43294" w:rsidRDefault="00B43294" w:rsidP="00B6797E">
      <w:pPr>
        <w:spacing w:after="0"/>
        <w:contextualSpacing/>
        <w:rPr>
          <w:rFonts w:cstheme="minorHAnsi"/>
          <w:sz w:val="20"/>
          <w:szCs w:val="20"/>
        </w:rPr>
      </w:pPr>
      <w:r>
        <w:rPr>
          <w:rStyle w:val="FootnoteReference"/>
        </w:rPr>
        <w:footnoteRef/>
      </w:r>
      <w:r>
        <w:t xml:space="preserve"> </w:t>
      </w:r>
      <w:r w:rsidRPr="00B43294">
        <w:rPr>
          <w:rFonts w:cstheme="minorHAnsi"/>
          <w:sz w:val="20"/>
          <w:szCs w:val="20"/>
        </w:rPr>
        <w:t>Bhagwat, Ashutosh Avinash. 2019. “The Conscience of the Baker: Religion and Compelled Speech.” https://search.ebscohost.com/login/aspx?direct+true&amp;db+edssch&amp;AN=edssch.oai%3aescholarship.org%2fark%3a%2f13030%2fgt4x43j1h5&amp;site=eds-live</w:t>
      </w:r>
      <w:r w:rsidRPr="00B43294">
        <w:rPr>
          <w:rFonts w:cstheme="minorHAnsi"/>
          <w:sz w:val="20"/>
          <w:szCs w:val="20"/>
        </w:rPr>
        <w:t>, 289.</w:t>
      </w:r>
    </w:p>
  </w:footnote>
  <w:footnote w:id="3">
    <w:p w14:paraId="1BD1FC66" w14:textId="255E43A0" w:rsidR="00B43294" w:rsidRPr="00B6797E" w:rsidRDefault="00B43294" w:rsidP="00B6797E">
      <w:pPr>
        <w:pStyle w:val="NormalWeb"/>
        <w:spacing w:before="0" w:beforeAutospacing="0" w:after="0" w:afterAutospacing="0"/>
        <w:contextualSpacing/>
        <w:rPr>
          <w:rFonts w:asciiTheme="minorHAnsi" w:hAnsiTheme="minorHAnsi" w:cstheme="minorHAnsi"/>
          <w:sz w:val="20"/>
          <w:szCs w:val="20"/>
        </w:rPr>
      </w:pPr>
      <w:r>
        <w:rPr>
          <w:rStyle w:val="FootnoteReference"/>
        </w:rPr>
        <w:footnoteRef/>
      </w:r>
      <w:r>
        <w:t xml:space="preserve"> </w:t>
      </w:r>
      <w:r w:rsidRPr="00B43294">
        <w:rPr>
          <w:rFonts w:asciiTheme="minorHAnsi" w:hAnsiTheme="minorHAnsi" w:cstheme="minorHAnsi"/>
          <w:sz w:val="20"/>
          <w:szCs w:val="20"/>
        </w:rPr>
        <w:t xml:space="preserve">“Amdt1.7.12.1 Overview of Compelled Speech - Constitution.congress.gov.” Accessed March 21, 2023. https://constitution.congress.gov/browse/essay/amdt1-7-12-1/ALDE_00000769/. </w:t>
      </w:r>
    </w:p>
  </w:footnote>
  <w:footnote w:id="4">
    <w:p w14:paraId="1F306D5A" w14:textId="316AC864" w:rsidR="00B6797E" w:rsidRDefault="00B6797E" w:rsidP="00B6797E">
      <w:pPr>
        <w:pStyle w:val="FootnoteText"/>
        <w:contextualSpacing/>
      </w:pPr>
      <w:r>
        <w:rPr>
          <w:rStyle w:val="FootnoteReference"/>
        </w:rPr>
        <w:footnoteRef/>
      </w:r>
      <w:r>
        <w:t xml:space="preserve"> Bhagwat, Ashutosh Avinash, 289.</w:t>
      </w:r>
    </w:p>
  </w:footnote>
  <w:footnote w:id="5">
    <w:p w14:paraId="2B7E2020" w14:textId="4BA21DCE" w:rsidR="00B6797E" w:rsidRDefault="00B6797E">
      <w:pPr>
        <w:pStyle w:val="FootnoteText"/>
      </w:pPr>
      <w:r>
        <w:rPr>
          <w:rStyle w:val="FootnoteReference"/>
        </w:rPr>
        <w:footnoteRef/>
      </w:r>
      <w:r>
        <w:t xml:space="preserve"> Ibid.</w:t>
      </w:r>
    </w:p>
  </w:footnote>
  <w:footnote w:id="6">
    <w:p w14:paraId="7CD86381" w14:textId="36CD2C86" w:rsidR="004C3F42" w:rsidRDefault="004C3F42">
      <w:pPr>
        <w:pStyle w:val="FootnoteText"/>
      </w:pPr>
      <w:r>
        <w:rPr>
          <w:rStyle w:val="FootnoteReference"/>
        </w:rPr>
        <w:footnoteRef/>
      </w:r>
      <w:r>
        <w:t xml:space="preserve"> </w:t>
      </w:r>
      <w:r>
        <w:t>Bhagwat, Ashutosh Avinash, 289.</w:t>
      </w:r>
    </w:p>
  </w:footnote>
  <w:footnote w:id="7">
    <w:p w14:paraId="218CA28A" w14:textId="26F6863F" w:rsidR="00D12391" w:rsidRDefault="00D12391">
      <w:pPr>
        <w:pStyle w:val="FootnoteText"/>
      </w:pPr>
      <w:r>
        <w:rPr>
          <w:rStyle w:val="FootnoteReference"/>
        </w:rPr>
        <w:footnoteRef/>
      </w:r>
      <w:r>
        <w:t xml:space="preserve"> Ibid, 295.</w:t>
      </w:r>
    </w:p>
  </w:footnote>
  <w:footnote w:id="8">
    <w:p w14:paraId="4DF0D9BF" w14:textId="56947F46" w:rsidR="00D12391" w:rsidRDefault="00D12391">
      <w:pPr>
        <w:pStyle w:val="FootnoteText"/>
      </w:pPr>
      <w:r>
        <w:rPr>
          <w:rStyle w:val="FootnoteReference"/>
        </w:rPr>
        <w:footnoteRef/>
      </w:r>
      <w:r>
        <w:t xml:space="preserve"> Ibid, 296.</w:t>
      </w:r>
    </w:p>
  </w:footnote>
  <w:footnote w:id="9">
    <w:p w14:paraId="2931FD2C" w14:textId="29408AC5" w:rsidR="00C45091" w:rsidRDefault="00C45091">
      <w:pPr>
        <w:pStyle w:val="FootnoteText"/>
      </w:pPr>
      <w:r>
        <w:rPr>
          <w:rStyle w:val="FootnoteReference"/>
        </w:rPr>
        <w:footnoteRef/>
      </w:r>
      <w:r>
        <w:t xml:space="preserve"> Ibid.</w:t>
      </w:r>
    </w:p>
  </w:footnote>
  <w:footnote w:id="10">
    <w:p w14:paraId="5BFE430B" w14:textId="5C6200CC" w:rsidR="00C45091" w:rsidRDefault="00C45091">
      <w:pPr>
        <w:pStyle w:val="FootnoteText"/>
      </w:pPr>
      <w:r>
        <w:rPr>
          <w:rStyle w:val="FootnoteReference"/>
        </w:rPr>
        <w:footnoteRef/>
      </w:r>
      <w:r>
        <w:t xml:space="preserve"> Ibid.</w:t>
      </w:r>
    </w:p>
  </w:footnote>
  <w:footnote w:id="11">
    <w:p w14:paraId="6B7A282D" w14:textId="4C0A3F04" w:rsidR="00C45091" w:rsidRDefault="00C45091">
      <w:pPr>
        <w:pStyle w:val="FootnoteText"/>
      </w:pPr>
      <w:r>
        <w:rPr>
          <w:rStyle w:val="FootnoteReference"/>
        </w:rPr>
        <w:footnoteRef/>
      </w:r>
      <w:r>
        <w:t xml:space="preserve"> </w:t>
      </w:r>
      <w:r w:rsidR="00405E1D">
        <w:t>Bhagwat, Ashutosh Avinash</w:t>
      </w:r>
      <w:r>
        <w:t>, 298.</w:t>
      </w:r>
    </w:p>
  </w:footnote>
  <w:footnote w:id="12">
    <w:p w14:paraId="7DAE8472" w14:textId="1AEA4A33" w:rsidR="00800E60" w:rsidRPr="00800E60" w:rsidRDefault="00800E60" w:rsidP="00800E60">
      <w:pPr>
        <w:pStyle w:val="NormalWeb"/>
        <w:spacing w:before="0" w:beforeAutospacing="0" w:after="0" w:afterAutospacing="0"/>
        <w:contextualSpacing/>
        <w:rPr>
          <w:rFonts w:asciiTheme="minorHAnsi" w:hAnsiTheme="minorHAnsi" w:cstheme="minorHAnsi"/>
        </w:rPr>
      </w:pPr>
      <w:r>
        <w:rPr>
          <w:rStyle w:val="FootnoteReference"/>
        </w:rPr>
        <w:footnoteRef/>
      </w:r>
      <w:r>
        <w:t xml:space="preserve"> </w:t>
      </w:r>
      <w:r w:rsidRPr="00800E60">
        <w:rPr>
          <w:rFonts w:asciiTheme="minorHAnsi" w:hAnsiTheme="minorHAnsi" w:cstheme="minorHAnsi"/>
          <w:sz w:val="20"/>
          <w:szCs w:val="20"/>
        </w:rPr>
        <w:t xml:space="preserve">Boertje, David M. “New California Law Allows Jail Time for Using Wrong Gender Pronoun.” San Diego Criminal Lawyers Blog, April 11, 2018. https://www.sandiegocriminallawyersblog.com/new-california-law-allows-jail-time-using-wrong-gender-pronoun/. </w:t>
      </w:r>
    </w:p>
  </w:footnote>
  <w:footnote w:id="13">
    <w:p w14:paraId="791B0562" w14:textId="6C42D48B" w:rsidR="00800E60" w:rsidRDefault="00800E60">
      <w:pPr>
        <w:pStyle w:val="FootnoteText"/>
      </w:pPr>
      <w:r>
        <w:rPr>
          <w:rStyle w:val="FootnoteReference"/>
        </w:rPr>
        <w:footnoteRef/>
      </w:r>
      <w:r>
        <w:t xml:space="preserve"> </w:t>
      </w:r>
      <w:r w:rsidRPr="00800E60">
        <w:rPr>
          <w:rFonts w:cstheme="minorHAnsi"/>
        </w:rPr>
        <w:t>Boertje, David M.</w:t>
      </w:r>
      <w:r>
        <w:rPr>
          <w:rFonts w:cstheme="minorHAnsi"/>
        </w:rPr>
        <w:t>, online article.</w:t>
      </w:r>
    </w:p>
  </w:footnote>
  <w:footnote w:id="14">
    <w:p w14:paraId="1FA609CA" w14:textId="47AB4CB5" w:rsidR="000C1740" w:rsidRDefault="000C1740">
      <w:pPr>
        <w:pStyle w:val="FootnoteText"/>
      </w:pPr>
      <w:r>
        <w:rPr>
          <w:rStyle w:val="FootnoteReference"/>
        </w:rPr>
        <w:footnoteRef/>
      </w:r>
      <w:r>
        <w:t xml:space="preserve"> </w:t>
      </w:r>
      <w:r w:rsidR="00405E1D" w:rsidRPr="00800E60">
        <w:rPr>
          <w:rFonts w:cstheme="minorHAnsi"/>
        </w:rPr>
        <w:t>Boertje, David M.</w:t>
      </w:r>
      <w:r w:rsidR="00405E1D">
        <w:rPr>
          <w:rFonts w:cstheme="minorHAnsi"/>
        </w:rPr>
        <w:t>, online article.</w:t>
      </w:r>
    </w:p>
  </w:footnote>
  <w:footnote w:id="15">
    <w:p w14:paraId="750A025E" w14:textId="32B0CAE5" w:rsidR="00F06C43" w:rsidRPr="00233E25" w:rsidRDefault="00F06C43" w:rsidP="00233E25">
      <w:pPr>
        <w:spacing w:after="0"/>
        <w:contextualSpacing/>
        <w:rPr>
          <w:rFonts w:cstheme="minorHAnsi"/>
          <w:color w:val="333333"/>
          <w:shd w:val="clear" w:color="auto" w:fill="FFFFFF"/>
        </w:rPr>
      </w:pPr>
      <w:r w:rsidRPr="00233E25">
        <w:rPr>
          <w:rStyle w:val="FootnoteReference"/>
          <w:sz w:val="20"/>
          <w:szCs w:val="20"/>
        </w:rPr>
        <w:footnoteRef/>
      </w:r>
      <w:r w:rsidRPr="00233E25">
        <w:rPr>
          <w:sz w:val="20"/>
          <w:szCs w:val="20"/>
        </w:rPr>
        <w:t xml:space="preserve"> </w:t>
      </w:r>
      <w:r w:rsidR="00233E25" w:rsidRPr="00233E25">
        <w:rPr>
          <w:rFonts w:cstheme="minorHAnsi"/>
          <w:sz w:val="20"/>
          <w:szCs w:val="20"/>
        </w:rPr>
        <w:t xml:space="preserve">Maria Cook. 2019. </w:t>
      </w:r>
      <w:r w:rsidR="00233E25" w:rsidRPr="00233E25">
        <w:rPr>
          <w:rFonts w:cstheme="minorHAnsi"/>
          <w:i/>
          <w:iCs/>
          <w:sz w:val="20"/>
          <w:szCs w:val="20"/>
        </w:rPr>
        <w:t>Gender Identity: Beyond Pronouns and Bathrooms.</w:t>
      </w:r>
      <w:r w:rsidR="00233E25" w:rsidRPr="00233E25">
        <w:rPr>
          <w:rFonts w:cstheme="minorHAnsi"/>
          <w:sz w:val="20"/>
          <w:szCs w:val="20"/>
        </w:rPr>
        <w:t xml:space="preserve"> Inquire &amp; Investigate. White River Junction, VT: Nomad Press</w:t>
      </w:r>
      <w:r w:rsidRPr="00233E25">
        <w:rPr>
          <w:sz w:val="20"/>
          <w:szCs w:val="20"/>
        </w:rPr>
        <w:t>, 3.</w:t>
      </w:r>
    </w:p>
  </w:footnote>
  <w:footnote w:id="16">
    <w:p w14:paraId="71CACE0D" w14:textId="7D3A4183" w:rsidR="00F06C43" w:rsidRDefault="00F06C43">
      <w:pPr>
        <w:pStyle w:val="FootnoteText"/>
      </w:pPr>
      <w:r>
        <w:rPr>
          <w:rStyle w:val="FootnoteReference"/>
        </w:rPr>
        <w:footnoteRef/>
      </w:r>
      <w:r>
        <w:t xml:space="preserve"> </w:t>
      </w:r>
      <w:r w:rsidR="00405E1D">
        <w:t>Maria Cook</w:t>
      </w:r>
      <w:r>
        <w:t>, 2</w:t>
      </w:r>
      <w:r w:rsidR="00466E07">
        <w:t>.</w:t>
      </w:r>
    </w:p>
  </w:footnote>
  <w:footnote w:id="17">
    <w:p w14:paraId="7E55540A" w14:textId="6A98D802" w:rsidR="00466E07" w:rsidRPr="00466E07" w:rsidRDefault="00466E07" w:rsidP="00466E07">
      <w:pPr>
        <w:spacing w:after="0"/>
        <w:contextualSpacing/>
        <w:rPr>
          <w:rFonts w:cstheme="minorHAnsi"/>
          <w:sz w:val="20"/>
          <w:szCs w:val="20"/>
        </w:rPr>
      </w:pPr>
      <w:r w:rsidRPr="00466E07">
        <w:rPr>
          <w:rStyle w:val="FootnoteReference"/>
          <w:sz w:val="20"/>
          <w:szCs w:val="20"/>
        </w:rPr>
        <w:footnoteRef/>
      </w:r>
      <w:r w:rsidRPr="00466E07">
        <w:rPr>
          <w:sz w:val="20"/>
          <w:szCs w:val="20"/>
        </w:rPr>
        <w:t xml:space="preserve"> </w:t>
      </w:r>
      <w:r w:rsidRPr="00466E07">
        <w:rPr>
          <w:rFonts w:cstheme="minorHAnsi"/>
          <w:sz w:val="20"/>
          <w:szCs w:val="20"/>
        </w:rPr>
        <w:t xml:space="preserve">McGlashan, Hayley, and Katie Fitzpatrick. 2018. “‘I Use Any Pronouns, and I’m Questioning Everything Else’: Transgender Youth and the Issue of Gender Pronouns.” </w:t>
      </w:r>
      <w:r w:rsidRPr="00466E07">
        <w:rPr>
          <w:rFonts w:cstheme="minorHAnsi"/>
          <w:i/>
          <w:iCs/>
          <w:sz w:val="20"/>
          <w:szCs w:val="20"/>
        </w:rPr>
        <w:t>Sex Education</w:t>
      </w:r>
      <w:r>
        <w:rPr>
          <w:rFonts w:cstheme="minorHAnsi"/>
          <w:sz w:val="20"/>
          <w:szCs w:val="20"/>
        </w:rPr>
        <w:t>,</w:t>
      </w:r>
      <w:r w:rsidRPr="00466E07">
        <w:rPr>
          <w:rFonts w:cstheme="minorHAnsi"/>
          <w:sz w:val="20"/>
          <w:szCs w:val="20"/>
        </w:rPr>
        <w:t xml:space="preserve"> 2</w:t>
      </w:r>
      <w:r>
        <w:rPr>
          <w:rFonts w:cstheme="minorHAnsi"/>
          <w:sz w:val="20"/>
          <w:szCs w:val="20"/>
        </w:rPr>
        <w:t>40</w:t>
      </w:r>
      <w:r w:rsidRPr="00466E07">
        <w:rPr>
          <w:rFonts w:cstheme="minorHAnsi"/>
          <w:sz w:val="20"/>
          <w:szCs w:val="20"/>
        </w:rPr>
        <w:t xml:space="preserve">. </w:t>
      </w:r>
    </w:p>
  </w:footnote>
  <w:footnote w:id="18">
    <w:p w14:paraId="335E3789" w14:textId="2E83A781" w:rsidR="00233E25" w:rsidRDefault="00233E25">
      <w:pPr>
        <w:pStyle w:val="FootnoteText"/>
      </w:pPr>
      <w:r>
        <w:rPr>
          <w:rStyle w:val="FootnoteReference"/>
        </w:rPr>
        <w:footnoteRef/>
      </w:r>
      <w:r>
        <w:t xml:space="preserve"> </w:t>
      </w:r>
      <w:r w:rsidR="00405E1D">
        <w:t>Maria Cook</w:t>
      </w:r>
      <w:r>
        <w:t>, 13.</w:t>
      </w:r>
    </w:p>
  </w:footnote>
  <w:footnote w:id="19">
    <w:p w14:paraId="65448850" w14:textId="513AF916" w:rsidR="00233E25" w:rsidRDefault="00233E25">
      <w:pPr>
        <w:pStyle w:val="FootnoteText"/>
      </w:pPr>
      <w:r>
        <w:rPr>
          <w:rStyle w:val="FootnoteReference"/>
        </w:rPr>
        <w:footnoteRef/>
      </w:r>
      <w:r>
        <w:t xml:space="preserve"> McGlashen, 246.</w:t>
      </w:r>
    </w:p>
  </w:footnote>
  <w:footnote w:id="20">
    <w:p w14:paraId="244D8013" w14:textId="7A3D7AA9" w:rsidR="00233E25" w:rsidRDefault="00233E25">
      <w:pPr>
        <w:pStyle w:val="FootnoteText"/>
      </w:pPr>
      <w:r>
        <w:rPr>
          <w:rStyle w:val="FootnoteReference"/>
        </w:rPr>
        <w:footnoteRef/>
      </w:r>
      <w:r>
        <w:t xml:space="preserve"> Ibid.</w:t>
      </w:r>
    </w:p>
  </w:footnote>
  <w:footnote w:id="21">
    <w:p w14:paraId="65E7BC7D" w14:textId="48E0A348" w:rsidR="001A7095" w:rsidRDefault="001A7095">
      <w:pPr>
        <w:pStyle w:val="FootnoteText"/>
      </w:pPr>
      <w:r>
        <w:rPr>
          <w:rStyle w:val="FootnoteReference"/>
        </w:rPr>
        <w:footnoteRef/>
      </w:r>
      <w:r>
        <w:t xml:space="preserve"> </w:t>
      </w:r>
      <w:r w:rsidRPr="00622311">
        <w:rPr>
          <w:rFonts w:cstheme="minorHAnsi"/>
        </w:rPr>
        <w:t xml:space="preserve">LaFollette, Hugh. </w:t>
      </w:r>
      <w:r w:rsidRPr="00622311">
        <w:rPr>
          <w:rFonts w:cstheme="minorHAnsi"/>
          <w:i/>
          <w:iCs/>
        </w:rPr>
        <w:t>The International Encyclopedia of Ethics</w:t>
      </w:r>
      <w:r w:rsidRPr="00622311">
        <w:rPr>
          <w:rFonts w:cstheme="minorHAnsi"/>
        </w:rPr>
        <w:t>. Vol. 7. 9 vols. Chichester etc.: Wiley-Blackwell, 2013</w:t>
      </w:r>
      <w:r>
        <w:rPr>
          <w:rFonts w:cstheme="minorHAnsi"/>
        </w:rPr>
        <w:t>,</w:t>
      </w:r>
      <w:r>
        <w:rPr>
          <w:rFonts w:cstheme="minorHAnsi"/>
        </w:rPr>
        <w:t xml:space="preserve"> 4488.</w:t>
      </w:r>
    </w:p>
  </w:footnote>
  <w:footnote w:id="22">
    <w:p w14:paraId="22649DCD" w14:textId="70D94240" w:rsidR="001A7095" w:rsidRDefault="001A7095">
      <w:pPr>
        <w:pStyle w:val="FootnoteText"/>
      </w:pPr>
      <w:r>
        <w:rPr>
          <w:rStyle w:val="FootnoteReference"/>
        </w:rPr>
        <w:footnoteRef/>
      </w:r>
      <w:r>
        <w:t xml:space="preserve"> </w:t>
      </w:r>
      <w:r w:rsidR="00405E1D">
        <w:t>LaFollette</w:t>
      </w:r>
      <w:r>
        <w:t>, 4488-9.</w:t>
      </w:r>
    </w:p>
  </w:footnote>
  <w:footnote w:id="23">
    <w:p w14:paraId="57E6E773" w14:textId="212C3BA1" w:rsidR="007B6C6B" w:rsidRDefault="007B6C6B">
      <w:pPr>
        <w:pStyle w:val="FootnoteText"/>
      </w:pPr>
      <w:r>
        <w:rPr>
          <w:rStyle w:val="FootnoteReference"/>
        </w:rPr>
        <w:footnoteRef/>
      </w:r>
      <w:r>
        <w:t xml:space="preserve"> Ibid, 4490.</w:t>
      </w:r>
    </w:p>
  </w:footnote>
  <w:footnote w:id="24">
    <w:p w14:paraId="16554B29" w14:textId="3683D3EA" w:rsidR="007B6C6B" w:rsidRDefault="007B6C6B">
      <w:pPr>
        <w:pStyle w:val="FootnoteText"/>
      </w:pPr>
      <w:r>
        <w:rPr>
          <w:rStyle w:val="FootnoteReference"/>
        </w:rPr>
        <w:footnoteRef/>
      </w:r>
      <w:r>
        <w:t xml:space="preserve"> </w:t>
      </w:r>
      <w:r w:rsidR="00405E1D">
        <w:t>Ibid</w:t>
      </w:r>
      <w:r>
        <w:t>, 4497.</w:t>
      </w:r>
    </w:p>
  </w:footnote>
  <w:footnote w:id="25">
    <w:p w14:paraId="43A1573C" w14:textId="16DF1ED3" w:rsidR="007B6C6B" w:rsidRDefault="007B6C6B">
      <w:pPr>
        <w:pStyle w:val="FootnoteText"/>
      </w:pPr>
      <w:r>
        <w:rPr>
          <w:rStyle w:val="FootnoteReference"/>
        </w:rPr>
        <w:footnoteRef/>
      </w:r>
      <w:r>
        <w:t xml:space="preserve"> </w:t>
      </w:r>
      <w:r w:rsidR="00405E1D">
        <w:t>LaFollete, 4497</w:t>
      </w:r>
      <w:r>
        <w:t>.</w:t>
      </w:r>
    </w:p>
  </w:footnote>
  <w:footnote w:id="26">
    <w:p w14:paraId="2E5D4022" w14:textId="46C66841" w:rsidR="008A7704" w:rsidRDefault="008A7704">
      <w:pPr>
        <w:pStyle w:val="FootnoteText"/>
      </w:pPr>
      <w:r>
        <w:rPr>
          <w:rStyle w:val="FootnoteReference"/>
        </w:rPr>
        <w:footnoteRef/>
      </w:r>
      <w:r>
        <w:t xml:space="preserve"> </w:t>
      </w:r>
      <w:r w:rsidR="00405E1D">
        <w:t>LaFollete, 4497</w:t>
      </w:r>
      <w:r>
        <w:t xml:space="preserve">. </w:t>
      </w:r>
    </w:p>
  </w:footnote>
  <w:footnote w:id="27">
    <w:p w14:paraId="75DE28CF" w14:textId="69380EDE" w:rsidR="001D6BBF" w:rsidRDefault="001D6BBF">
      <w:pPr>
        <w:pStyle w:val="FootnoteText"/>
      </w:pPr>
      <w:r>
        <w:rPr>
          <w:rStyle w:val="FootnoteReference"/>
        </w:rPr>
        <w:footnoteRef/>
      </w:r>
      <w:r>
        <w:t xml:space="preserve"> See LaFollette on “implicit agreements,” 4491-2.</w:t>
      </w:r>
    </w:p>
  </w:footnote>
  <w:footnote w:id="28">
    <w:p w14:paraId="223E20F7" w14:textId="674F32EB" w:rsidR="001D6BBF" w:rsidRDefault="001D6BBF">
      <w:pPr>
        <w:pStyle w:val="FootnoteText"/>
      </w:pPr>
      <w:r>
        <w:rPr>
          <w:rStyle w:val="FootnoteReference"/>
        </w:rPr>
        <w:footnoteRef/>
      </w:r>
      <w:r>
        <w:t xml:space="preserve"> See LaFollette on “norms of reciprocity,” 4493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D30AE"/>
    <w:multiLevelType w:val="hybridMultilevel"/>
    <w:tmpl w:val="B78E41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786CB3"/>
    <w:multiLevelType w:val="hybridMultilevel"/>
    <w:tmpl w:val="F9467CD2"/>
    <w:lvl w:ilvl="0" w:tplc="089EF9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24000953">
    <w:abstractNumId w:val="0"/>
  </w:num>
  <w:num w:numId="2" w16cid:durableId="417412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734"/>
    <w:rsid w:val="000C1740"/>
    <w:rsid w:val="001108BB"/>
    <w:rsid w:val="00192352"/>
    <w:rsid w:val="001A6D84"/>
    <w:rsid w:val="001A7095"/>
    <w:rsid w:val="001D0D53"/>
    <w:rsid w:val="001D6BBF"/>
    <w:rsid w:val="00233E25"/>
    <w:rsid w:val="0023590B"/>
    <w:rsid w:val="00275B7E"/>
    <w:rsid w:val="002C42C5"/>
    <w:rsid w:val="00325EC9"/>
    <w:rsid w:val="00362644"/>
    <w:rsid w:val="00405E1D"/>
    <w:rsid w:val="00466E07"/>
    <w:rsid w:val="004C3F42"/>
    <w:rsid w:val="005252FC"/>
    <w:rsid w:val="005A0888"/>
    <w:rsid w:val="00622311"/>
    <w:rsid w:val="007B6C6B"/>
    <w:rsid w:val="00800E60"/>
    <w:rsid w:val="00866340"/>
    <w:rsid w:val="008A7704"/>
    <w:rsid w:val="00992EDF"/>
    <w:rsid w:val="00AA0B7A"/>
    <w:rsid w:val="00B43294"/>
    <w:rsid w:val="00B44734"/>
    <w:rsid w:val="00B6797E"/>
    <w:rsid w:val="00C34630"/>
    <w:rsid w:val="00C45091"/>
    <w:rsid w:val="00D12391"/>
    <w:rsid w:val="00D32C2B"/>
    <w:rsid w:val="00EA2AC1"/>
    <w:rsid w:val="00F06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A0032"/>
  <w15:chartTrackingRefBased/>
  <w15:docId w15:val="{09B5BBD9-1B8C-445E-87A1-8CECE63D3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734"/>
    <w:pPr>
      <w:ind w:left="720"/>
      <w:contextualSpacing/>
    </w:pPr>
  </w:style>
  <w:style w:type="character" w:styleId="Hyperlink">
    <w:name w:val="Hyperlink"/>
    <w:basedOn w:val="DefaultParagraphFont"/>
    <w:uiPriority w:val="99"/>
    <w:unhideWhenUsed/>
    <w:rsid w:val="00325EC9"/>
    <w:rPr>
      <w:color w:val="0000FF"/>
      <w:u w:val="single"/>
    </w:rPr>
  </w:style>
  <w:style w:type="character" w:styleId="UnresolvedMention">
    <w:name w:val="Unresolved Mention"/>
    <w:basedOn w:val="DefaultParagraphFont"/>
    <w:uiPriority w:val="99"/>
    <w:semiHidden/>
    <w:unhideWhenUsed/>
    <w:rsid w:val="00325EC9"/>
    <w:rPr>
      <w:color w:val="605E5C"/>
      <w:shd w:val="clear" w:color="auto" w:fill="E1DFDD"/>
    </w:rPr>
  </w:style>
  <w:style w:type="paragraph" w:styleId="NormalWeb">
    <w:name w:val="Normal (Web)"/>
    <w:basedOn w:val="Normal"/>
    <w:uiPriority w:val="99"/>
    <w:unhideWhenUsed/>
    <w:rsid w:val="006223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252FC"/>
    <w:rPr>
      <w:i/>
      <w:iCs/>
    </w:rPr>
  </w:style>
  <w:style w:type="paragraph" w:styleId="FootnoteText">
    <w:name w:val="footnote text"/>
    <w:basedOn w:val="Normal"/>
    <w:link w:val="FootnoteTextChar"/>
    <w:uiPriority w:val="99"/>
    <w:semiHidden/>
    <w:unhideWhenUsed/>
    <w:rsid w:val="005252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52FC"/>
    <w:rPr>
      <w:sz w:val="20"/>
      <w:szCs w:val="20"/>
    </w:rPr>
  </w:style>
  <w:style w:type="character" w:styleId="FootnoteReference">
    <w:name w:val="footnote reference"/>
    <w:basedOn w:val="DefaultParagraphFont"/>
    <w:uiPriority w:val="99"/>
    <w:semiHidden/>
    <w:unhideWhenUsed/>
    <w:rsid w:val="005252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643394">
      <w:bodyDiv w:val="1"/>
      <w:marLeft w:val="0"/>
      <w:marRight w:val="0"/>
      <w:marTop w:val="0"/>
      <w:marBottom w:val="0"/>
      <w:divBdr>
        <w:top w:val="none" w:sz="0" w:space="0" w:color="auto"/>
        <w:left w:val="none" w:sz="0" w:space="0" w:color="auto"/>
        <w:bottom w:val="none" w:sz="0" w:space="0" w:color="auto"/>
        <w:right w:val="none" w:sz="0" w:space="0" w:color="auto"/>
      </w:divBdr>
    </w:div>
    <w:div w:id="716929689">
      <w:bodyDiv w:val="1"/>
      <w:marLeft w:val="0"/>
      <w:marRight w:val="0"/>
      <w:marTop w:val="0"/>
      <w:marBottom w:val="0"/>
      <w:divBdr>
        <w:top w:val="none" w:sz="0" w:space="0" w:color="auto"/>
        <w:left w:val="none" w:sz="0" w:space="0" w:color="auto"/>
        <w:bottom w:val="none" w:sz="0" w:space="0" w:color="auto"/>
        <w:right w:val="none" w:sz="0" w:space="0" w:color="auto"/>
      </w:divBdr>
    </w:div>
    <w:div w:id="1147628687">
      <w:bodyDiv w:val="1"/>
      <w:marLeft w:val="0"/>
      <w:marRight w:val="0"/>
      <w:marTop w:val="0"/>
      <w:marBottom w:val="0"/>
      <w:divBdr>
        <w:top w:val="none" w:sz="0" w:space="0" w:color="auto"/>
        <w:left w:val="none" w:sz="0" w:space="0" w:color="auto"/>
        <w:bottom w:val="none" w:sz="0" w:space="0" w:color="auto"/>
        <w:right w:val="none" w:sz="0" w:space="0" w:color="auto"/>
      </w:divBdr>
    </w:div>
    <w:div w:id="166894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ebscohost.com/login.aspx?direct=true&amp;db=nlebk&amp;AN=2103731&amp;site=eds-liv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97B986C3-EF09-4A20-B9A1-16923D8DB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12</Pages>
  <Words>2877</Words>
  <Characters>16404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Linton</dc:creator>
  <cp:keywords/>
  <dc:description/>
  <cp:lastModifiedBy>Scott Linton</cp:lastModifiedBy>
  <cp:revision>10</cp:revision>
  <dcterms:created xsi:type="dcterms:W3CDTF">2023-03-21T16:08:00Z</dcterms:created>
  <dcterms:modified xsi:type="dcterms:W3CDTF">2023-03-22T02:26:00Z</dcterms:modified>
</cp:coreProperties>
</file>